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Курской области от 17.06.2022 N 662-па</w:t>
              <w:br/>
              <w:t xml:space="preserve">(ред. от 25.12.2024)</w:t>
              <w:br/>
              <w:t xml:space="preserve">"Об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br/>
              <w:t xml:space="preserve">(вместе с "Перечнем постановлений Администрации Курской области, признанных утратившими силу")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КУРСКОЙ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17 июня 2022 г. N 662-па</w:t>
      </w:r>
    </w:p>
    <w:p>
      <w:pPr>
        <w:pStyle w:val="2"/>
        <w:jc w:val="both"/>
      </w:pPr>
      <w:r>
        <w:rPr>
          <w:sz w:val="24"/>
        </w:rPr>
      </w:r>
    </w:p>
    <w:p>
      <w:pPr>
        <w:pStyle w:val="2"/>
        <w:jc w:val="center"/>
      </w:pPr>
      <w:r>
        <w:rPr>
          <w:sz w:val="24"/>
        </w:rPr>
        <w:t xml:space="preserve">ОБ УТВЕРЖДЕНИИ ПОРЯДКА ПРЕДОСТАВЛЕНИЯ СУБСИДИЙ ПРЕДПРИЯТИЯМ</w:t>
      </w:r>
    </w:p>
    <w:p>
      <w:pPr>
        <w:pStyle w:val="2"/>
        <w:jc w:val="center"/>
      </w:pPr>
      <w:r>
        <w:rPr>
          <w:sz w:val="24"/>
        </w:rPr>
        <w:t xml:space="preserve">И ОРГАНИЗАЦИЯМ РАЗЛИЧНЫХ ФОРМ СОБСТВЕННОСТИ (ЗА ИСКЛЮЧЕНИЕМ</w:t>
      </w:r>
    </w:p>
    <w:p>
      <w:pPr>
        <w:pStyle w:val="2"/>
        <w:jc w:val="center"/>
      </w:pPr>
      <w:r>
        <w:rPr>
          <w:sz w:val="24"/>
        </w:rPr>
        <w:t xml:space="preserve">ГОСУДАРСТВЕННЫХ (МУНИЦИПАЛЬНЫХ) УЧРЕЖДЕНИЙ), ИНДИВИДУАЛЬНЫМ</w:t>
      </w:r>
    </w:p>
    <w:p>
      <w:pPr>
        <w:pStyle w:val="2"/>
        <w:jc w:val="center"/>
      </w:pPr>
      <w:r>
        <w:rPr>
          <w:sz w:val="24"/>
        </w:rPr>
        <w:t xml:space="preserve">ПРЕДПРИНИМАТЕЛЯМ, УЧАСТВУЮЩИМ В РЕАЛИЗАЦИИ МЕРОПРИЯТИЙ</w:t>
      </w:r>
    </w:p>
    <w:p>
      <w:pPr>
        <w:pStyle w:val="2"/>
        <w:jc w:val="center"/>
      </w:pPr>
      <w:r>
        <w:rPr>
          <w:sz w:val="24"/>
        </w:rPr>
        <w:t xml:space="preserve">В ОБЛАСТИ СОДЕЙСТВИЯ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Курской области от 26.09.2022 </w:t>
            </w:r>
            <w:hyperlink w:history="0" r:id="rId7" w:tooltip="Постановление Администрации Курской области от 26.09.2022 N 1065-па &quot;О внесении изменения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4"/>
                  <w:color w:val="0000ff"/>
                </w:rPr>
                <w:t xml:space="preserve">N 1065-па</w:t>
              </w:r>
            </w:hyperlink>
            <w:r>
              <w:rPr>
                <w:sz w:val="24"/>
                <w:color w:val="392c69"/>
              </w:rPr>
              <w:t xml:space="preserve">,</w:t>
            </w:r>
          </w:p>
          <w:p>
            <w:pPr>
              <w:pStyle w:val="0"/>
              <w:jc w:val="center"/>
            </w:pPr>
            <w:r>
              <w:rPr>
                <w:sz w:val="24"/>
                <w:color w:val="392c69"/>
              </w:rPr>
              <w:t xml:space="preserve">от 27.12.2022 </w:t>
            </w:r>
            <w:hyperlink w:history="0" r:id="rId8" w:tooltip="Постановление Администрации Курской области от 27.12.2022 N 1604-па &quot;О внесении изменений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4"/>
                  <w:color w:val="0000ff"/>
                </w:rPr>
                <w:t xml:space="preserve">N 1604-па</w:t>
              </w:r>
            </w:hyperlink>
            <w:r>
              <w:rPr>
                <w:sz w:val="24"/>
                <w:color w:val="392c69"/>
              </w:rPr>
              <w:t xml:space="preserve">,</w:t>
            </w:r>
          </w:p>
          <w:p>
            <w:pPr>
              <w:pStyle w:val="0"/>
              <w:jc w:val="center"/>
            </w:pPr>
            <w:r>
              <w:rPr>
                <w:sz w:val="24"/>
                <w:color w:val="392c69"/>
              </w:rPr>
              <w:t xml:space="preserve">постановлений Правительства Курской области</w:t>
            </w:r>
          </w:p>
          <w:p>
            <w:pPr>
              <w:pStyle w:val="0"/>
              <w:jc w:val="center"/>
            </w:pPr>
            <w:r>
              <w:rPr>
                <w:sz w:val="24"/>
                <w:color w:val="392c69"/>
              </w:rPr>
              <w:t xml:space="preserve">от 02.03.2023 </w:t>
            </w:r>
            <w:hyperlink w:history="0" r:id="rId9" w:tooltip="Постановление Правительства Курской области от 02.03.2023 N 257-пп &quot;О внесении изменений в постановление Администрации Курской области от 17.06.2022 N 662-па&quot; {КонсультантПлюс}">
              <w:r>
                <w:rPr>
                  <w:sz w:val="24"/>
                  <w:color w:val="0000ff"/>
                </w:rPr>
                <w:t xml:space="preserve">N 257-пп</w:t>
              </w:r>
            </w:hyperlink>
            <w:r>
              <w:rPr>
                <w:sz w:val="24"/>
                <w:color w:val="392c69"/>
              </w:rPr>
              <w:t xml:space="preserve">, от 27.09.2023 </w:t>
            </w:r>
            <w:hyperlink w:history="0" r:id="rId10" w:tooltip="Постановление Правительства Курской области от 27.09.2023 N 1041-пп &quot;О внесении изменений в некоторые постановления Администрации Курской области и признании утратившим силу постановления Администрации Курской области от 01.08.2011 N 349-па&quot; {КонсультантПлюс}">
              <w:r>
                <w:rPr>
                  <w:sz w:val="24"/>
                  <w:color w:val="0000ff"/>
                </w:rPr>
                <w:t xml:space="preserve">N 1041-пп</w:t>
              </w:r>
            </w:hyperlink>
            <w:r>
              <w:rPr>
                <w:sz w:val="24"/>
                <w:color w:val="392c69"/>
              </w:rPr>
              <w:t xml:space="preserve">, от 10.07.2024 </w:t>
            </w:r>
            <w:hyperlink w:history="0" r:id="rId11" w:tooltip="Постановление Правительства Курской области от 10.07.2024 N 549-пп &quot;О внесении изменений в постановление Администрации Курской области от 17.06.2022 N 662-па&quot; {КонсультантПлюс}">
              <w:r>
                <w:rPr>
                  <w:sz w:val="24"/>
                  <w:color w:val="0000ff"/>
                </w:rPr>
                <w:t xml:space="preserve">N 549-пп</w:t>
              </w:r>
            </w:hyperlink>
            <w:r>
              <w:rPr>
                <w:sz w:val="24"/>
                <w:color w:val="392c69"/>
              </w:rPr>
              <w:t xml:space="preserve">,</w:t>
            </w:r>
          </w:p>
          <w:p>
            <w:pPr>
              <w:pStyle w:val="0"/>
              <w:jc w:val="center"/>
            </w:pPr>
            <w:r>
              <w:rPr>
                <w:sz w:val="24"/>
                <w:color w:val="392c69"/>
              </w:rPr>
              <w:t xml:space="preserve">от 25.12.2024 </w:t>
            </w:r>
            <w:hyperlink w:history="0" r:id="rId12" w:tooltip="Постановление Правительства Курской области от 25.12.2024 N 1161-пп &quot;О внесении изменений в постановление Администрации Курской области от 17.06.2022 N 662-па&quot; {КонсультантПлюс}">
              <w:r>
                <w:rPr>
                  <w:sz w:val="24"/>
                  <w:color w:val="0000ff"/>
                </w:rPr>
                <w:t xml:space="preserve">N 1161-пп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Администрация Курской области постановляет:</w:t>
      </w:r>
    </w:p>
    <w:p>
      <w:pPr>
        <w:pStyle w:val="0"/>
        <w:spacing w:before="240" w:line-rule="auto"/>
        <w:ind w:firstLine="540"/>
        <w:jc w:val="both"/>
      </w:pPr>
      <w:r>
        <w:rPr>
          <w:sz w:val="24"/>
        </w:rPr>
        <w:t xml:space="preserve">1. Утвердить прилагаемый </w:t>
      </w:r>
      <w:hyperlink w:history="0" w:anchor="P35" w:tooltip="ПОРЯДОК">
        <w:r>
          <w:rPr>
            <w:sz w:val="24"/>
            <w:color w:val="0000ff"/>
          </w:rPr>
          <w:t xml:space="preserve">Порядок</w:t>
        </w:r>
      </w:hyperlink>
      <w:r>
        <w:rPr>
          <w:sz w:val="24"/>
        </w:rPr>
        <w:t xml:space="preserve">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pPr>
        <w:pStyle w:val="0"/>
        <w:spacing w:before="240" w:line-rule="auto"/>
        <w:ind w:firstLine="540"/>
        <w:jc w:val="both"/>
      </w:pPr>
      <w:r>
        <w:rPr>
          <w:sz w:val="24"/>
        </w:rPr>
        <w:t xml:space="preserve">2. Признать утратившими силу постановления Администрации Курской области по </w:t>
      </w:r>
      <w:hyperlink w:history="0" w:anchor="P334" w:tooltip="ПЕРЕЧЕНЬ">
        <w:r>
          <w:rPr>
            <w:sz w:val="24"/>
            <w:color w:val="0000ff"/>
          </w:rPr>
          <w:t xml:space="preserve">перечню</w:t>
        </w:r>
      </w:hyperlink>
      <w:r>
        <w:rPr>
          <w:sz w:val="24"/>
        </w:rPr>
        <w:t xml:space="preserve"> согласно приложению.</w:t>
      </w:r>
    </w:p>
    <w:p>
      <w:pPr>
        <w:pStyle w:val="0"/>
        <w:jc w:val="both"/>
      </w:pPr>
      <w:r>
        <w:rPr>
          <w:sz w:val="24"/>
        </w:rPr>
      </w:r>
    </w:p>
    <w:p>
      <w:pPr>
        <w:pStyle w:val="0"/>
        <w:jc w:val="right"/>
      </w:pPr>
      <w:r>
        <w:rPr>
          <w:sz w:val="24"/>
        </w:rPr>
        <w:t xml:space="preserve">И.о. Губернатора</w:t>
      </w:r>
    </w:p>
    <w:p>
      <w:pPr>
        <w:pStyle w:val="0"/>
        <w:jc w:val="right"/>
      </w:pPr>
      <w:r>
        <w:rPr>
          <w:sz w:val="24"/>
        </w:rPr>
        <w:t xml:space="preserve">Курской области</w:t>
      </w:r>
    </w:p>
    <w:p>
      <w:pPr>
        <w:pStyle w:val="0"/>
        <w:jc w:val="right"/>
      </w:pPr>
      <w:r>
        <w:rPr>
          <w:sz w:val="24"/>
        </w:rPr>
        <w:t xml:space="preserve">А.Б.СМИРНОВ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Курской области</w:t>
      </w:r>
    </w:p>
    <w:p>
      <w:pPr>
        <w:pStyle w:val="0"/>
        <w:jc w:val="right"/>
      </w:pPr>
      <w:r>
        <w:rPr>
          <w:sz w:val="24"/>
        </w:rPr>
        <w:t xml:space="preserve">от 17 июня 2022 г. N 662-па</w:t>
      </w:r>
    </w:p>
    <w:p>
      <w:pPr>
        <w:pStyle w:val="0"/>
        <w:jc w:val="both"/>
      </w:pPr>
      <w:r>
        <w:rPr>
          <w:sz w:val="24"/>
        </w:rPr>
      </w:r>
    </w:p>
    <w:bookmarkStart w:id="35" w:name="P35"/>
    <w:bookmarkEnd w:id="35"/>
    <w:p>
      <w:pPr>
        <w:pStyle w:val="2"/>
        <w:jc w:val="center"/>
      </w:pPr>
      <w:r>
        <w:rPr>
          <w:sz w:val="24"/>
        </w:rPr>
        <w:t xml:space="preserve">ПОРЯДОК</w:t>
      </w:r>
    </w:p>
    <w:p>
      <w:pPr>
        <w:pStyle w:val="2"/>
        <w:jc w:val="center"/>
      </w:pPr>
      <w:r>
        <w:rPr>
          <w:sz w:val="24"/>
        </w:rPr>
        <w:t xml:space="preserve">ПРЕДОСТАВЛЕНИЯ СУБСИДИЙ ПРЕДПРИЯТИЯМ И ОРГАНИЗАЦИЯМ</w:t>
      </w:r>
    </w:p>
    <w:p>
      <w:pPr>
        <w:pStyle w:val="2"/>
        <w:jc w:val="center"/>
      </w:pPr>
      <w:r>
        <w:rPr>
          <w:sz w:val="24"/>
        </w:rPr>
        <w:t xml:space="preserve">РАЗЛИЧНЫХ ФОРМ СОБСТВЕННОСТИ (ЗА ИСКЛЮЧЕНИЕМ ГОСУДАРСТВЕННЫХ</w:t>
      </w:r>
    </w:p>
    <w:p>
      <w:pPr>
        <w:pStyle w:val="2"/>
        <w:jc w:val="center"/>
      </w:pPr>
      <w:r>
        <w:rPr>
          <w:sz w:val="24"/>
        </w:rPr>
        <w:t xml:space="preserve">(МУНИЦИПАЛЬНЫХ) УЧРЕЖДЕНИЙ), ИНДИВИДУАЛЬНЫМ</w:t>
      </w:r>
    </w:p>
    <w:p>
      <w:pPr>
        <w:pStyle w:val="2"/>
        <w:jc w:val="center"/>
      </w:pPr>
      <w:r>
        <w:rPr>
          <w:sz w:val="24"/>
        </w:rPr>
        <w:t xml:space="preserve">ПРЕДПРИНИМАТЕЛЯМ, УЧАСТВУЮЩИМ В РЕАЛИЗАЦИИ МЕРОПРИЯТИЙ</w:t>
      </w:r>
    </w:p>
    <w:p>
      <w:pPr>
        <w:pStyle w:val="2"/>
        <w:jc w:val="center"/>
      </w:pPr>
      <w:r>
        <w:rPr>
          <w:sz w:val="24"/>
        </w:rPr>
        <w:t xml:space="preserve">В ОБЛАСТИ СОДЕЙСТВИЯ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 w:tooltip="Постановление Правительства Курской области от 25.12.2024 N 1161-пп &quot;О внесении изменений в постановление Администрации Курской области от 17.06.2022 N 662-па&quot; {КонсультантПлюс}">
              <w:r>
                <w:rPr>
                  <w:sz w:val="24"/>
                  <w:color w:val="0000ff"/>
                </w:rPr>
                <w:t xml:space="preserve">постановления</w:t>
              </w:r>
            </w:hyperlink>
            <w:r>
              <w:rPr>
                <w:sz w:val="24"/>
                <w:color w:val="392c69"/>
              </w:rPr>
              <w:t xml:space="preserve"> Правительства Курской области</w:t>
            </w:r>
          </w:p>
          <w:p>
            <w:pPr>
              <w:pStyle w:val="0"/>
              <w:jc w:val="center"/>
            </w:pPr>
            <w:r>
              <w:rPr>
                <w:sz w:val="24"/>
                <w:color w:val="392c69"/>
              </w:rPr>
              <w:t xml:space="preserve">от 25.12.2024 N 1161-пп)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разработан в соответствии со </w:t>
      </w:r>
      <w:hyperlink w:history="0" r:id="rId14"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статьями 78</w:t>
        </w:r>
      </w:hyperlink>
      <w:r>
        <w:rPr>
          <w:sz w:val="24"/>
        </w:rPr>
        <w:t xml:space="preserve">, </w:t>
      </w:r>
      <w:hyperlink w:history="0" r:id="rId15"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78.1</w:t>
        </w:r>
      </w:hyperlink>
      <w:r>
        <w:rPr>
          <w:sz w:val="24"/>
        </w:rPr>
        <w:t xml:space="preserve"> Бюджетного кодекса Российской Федерации, </w:t>
      </w:r>
      <w:hyperlink w:history="0" r:id="rId16"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государственной </w:t>
      </w:r>
      <w:hyperlink w:history="0" r:id="rId17" w:tooltip="Постановление Администрации Курской области от 20.09.2013 N 659-па (ред. от 27.12.2024) &quot;Об утверждении государственной программы Курской области &quot;Содействие занятости населения в Курской области&quot; (вместе с &quot;Перечнем постановлений Администрации Курской области, признанных утратившими силу&quot;) {КонсультантПлюс}">
        <w:r>
          <w:rPr>
            <w:sz w:val="24"/>
            <w:color w:val="0000ff"/>
          </w:rPr>
          <w:t xml:space="preserve">программы</w:t>
        </w:r>
      </w:hyperlink>
      <w:r>
        <w:rPr>
          <w:sz w:val="24"/>
        </w:rPr>
        <w:t xml:space="preserve"> Курской области "Содействие занятости населения в Курской области", утвержденной постановлением Администрации Курской области от 20.09.2013 N 659-па, и определяет цель, условия и порядок предоставления из бюджета Курской области субсидии на возмещение затрат предприятий и организаций различных форм собственности (за исключением государственных (муниципальных) учреждений), индивидуальных предпринимателей, осуществляющих свою деятельность на территории Курской области, на реализацию мероприятий по организации стажировки выпускников профессиональных образовательных организаций и образовательных организаций высшего образования и на реализацию мероприятий по содействию при адаптации на рабочем месте (в течение определенного периода времени) инвалидов молодого возраста (от 18 до 44 лет) силами наставника (далее - Субсидия, Работодатель, Мероприятия).</w:t>
      </w:r>
    </w:p>
    <w:p>
      <w:pPr>
        <w:pStyle w:val="0"/>
        <w:spacing w:before="240" w:line-rule="auto"/>
        <w:ind w:firstLine="540"/>
        <w:jc w:val="both"/>
      </w:pPr>
      <w:r>
        <w:rPr>
          <w:sz w:val="24"/>
        </w:rPr>
        <w:t xml:space="preserve">Источником финансирования Мероприятий являются средства бюджета Курской области.</w:t>
      </w:r>
    </w:p>
    <w:p>
      <w:pPr>
        <w:pStyle w:val="0"/>
        <w:spacing w:before="240" w:line-rule="auto"/>
        <w:ind w:firstLine="540"/>
        <w:jc w:val="both"/>
      </w:pPr>
      <w:r>
        <w:rPr>
          <w:sz w:val="24"/>
        </w:rPr>
        <w:t xml:space="preserve">2. Понятия, используемые для целей настоящего Порядка:</w:t>
      </w:r>
    </w:p>
    <w:p>
      <w:pPr>
        <w:pStyle w:val="0"/>
        <w:spacing w:before="240" w:line-rule="auto"/>
        <w:ind w:firstLine="540"/>
        <w:jc w:val="both"/>
      </w:pPr>
      <w:r>
        <w:rPr>
          <w:sz w:val="24"/>
        </w:rPr>
        <w:t xml:space="preserve">наставничество - содействие выпускникам профессиональных образовательных организаций и образовательных организаций высшего образования, проходящим стажировку, или трудоустроенным (в течение определенного периода времени) инвалидам молодого возраста (от 18 до 44 лет) в освоении трудовых обязанностей, вытекающих из технологической документации, должностной инструкции (при ее наличии), в том числе видов трудовой деятельности, навыков, знаний и умений, а также содействие в формировании толерантного отношения к инвалиду со стороны других взаимодействующих с ним работников;</w:t>
      </w:r>
    </w:p>
    <w:p>
      <w:pPr>
        <w:pStyle w:val="0"/>
        <w:spacing w:before="240" w:line-rule="auto"/>
        <w:ind w:firstLine="540"/>
        <w:jc w:val="both"/>
      </w:pPr>
      <w:r>
        <w:rPr>
          <w:sz w:val="24"/>
        </w:rPr>
        <w:t xml:space="preserve">стажер - трудоустроенный по направлению органов службы занятости населения выпускник профессиональной образовательной организации или образовательной организации высшего образования;</w:t>
      </w:r>
    </w:p>
    <w:p>
      <w:pPr>
        <w:pStyle w:val="0"/>
        <w:spacing w:before="240" w:line-rule="auto"/>
        <w:ind w:firstLine="540"/>
        <w:jc w:val="both"/>
      </w:pPr>
      <w:r>
        <w:rPr>
          <w:sz w:val="24"/>
        </w:rPr>
        <w:t xml:space="preserve">стажировка - временное трудоустройство выпускников профессиональных образовательных организаций и образовательных организаций высшего образования в целях приобретения опыта работы по получаемой либо полученной профессии (специальности), а также иным направлениям профессиональной подготовки, родственным по содержанию работ;</w:t>
      </w:r>
    </w:p>
    <w:p>
      <w:pPr>
        <w:pStyle w:val="0"/>
        <w:spacing w:before="240" w:line-rule="auto"/>
        <w:ind w:firstLine="540"/>
        <w:jc w:val="both"/>
      </w:pPr>
      <w:r>
        <w:rPr>
          <w:sz w:val="24"/>
        </w:rPr>
        <w:t xml:space="preserve">наставляемый - трудоустроенный по направлению органов службы занятости населения инвалид молодого возраста (от 18 до 44 лет), в том числе участник ежегодного конкурса "Абилимпикс" и национального чемпионата "Абилимпикс";</w:t>
      </w:r>
    </w:p>
    <w:p>
      <w:pPr>
        <w:pStyle w:val="0"/>
        <w:spacing w:before="240" w:line-rule="auto"/>
        <w:ind w:firstLine="540"/>
        <w:jc w:val="both"/>
      </w:pPr>
      <w:r>
        <w:rPr>
          <w:sz w:val="24"/>
        </w:rPr>
        <w:t xml:space="preserve">наставник - гражданин, состоящий в трудовых отношениях с работодателем, на которого с его согласия работодателем возложена обязанность по наставничеству над стажером и наставляемым на рабочем месте. Наставником может быть назначен сотрудник работодателя, в том числе руководитель, за исключением лица, являющегося индивидуальным предпринимателем. Наставник обеспечивает адаптацию стажера или наставляемого к условиям профессиональной среды (социальной и производственной), содержанию, режиму, условиям, характеру профессиональной деятельности, трудовому коллективу, осуществляет социальное и психологическое сопровождение инвалида в процессе закрепления на рабочем месте.</w:t>
      </w:r>
    </w:p>
    <w:bookmarkStart w:id="55" w:name="P55"/>
    <w:bookmarkEnd w:id="55"/>
    <w:p>
      <w:pPr>
        <w:pStyle w:val="0"/>
        <w:spacing w:before="240" w:line-rule="auto"/>
        <w:ind w:firstLine="540"/>
        <w:jc w:val="both"/>
      </w:pPr>
      <w:r>
        <w:rPr>
          <w:sz w:val="24"/>
        </w:rPr>
        <w:t xml:space="preserve">3. Целью предоставления Субсидии является возмещение Работодателям фактически произведенных затрат на:</w:t>
      </w:r>
    </w:p>
    <w:bookmarkStart w:id="56" w:name="P56"/>
    <w:bookmarkEnd w:id="56"/>
    <w:p>
      <w:pPr>
        <w:pStyle w:val="0"/>
        <w:spacing w:before="240" w:line-rule="auto"/>
        <w:ind w:firstLine="540"/>
        <w:jc w:val="both"/>
      </w:pPr>
      <w:r>
        <w:rPr>
          <w:sz w:val="24"/>
        </w:rPr>
        <w:t xml:space="preserve">а) оплату труда выпускников профессиональных образовательных организаций и образовательных организаций высшего образования, проходящих стажировку, и оплату труда наставничества их наставникам;</w:t>
      </w:r>
    </w:p>
    <w:bookmarkStart w:id="57" w:name="P57"/>
    <w:bookmarkEnd w:id="57"/>
    <w:p>
      <w:pPr>
        <w:pStyle w:val="0"/>
        <w:spacing w:before="240" w:line-rule="auto"/>
        <w:ind w:firstLine="540"/>
        <w:jc w:val="both"/>
      </w:pPr>
      <w:r>
        <w:rPr>
          <w:sz w:val="24"/>
        </w:rPr>
        <w:t xml:space="preserve">б) оплату труда трудоустроенных (в течение определенного периода времени) инвалидов молодого возраста (от 18 до 44 лет) и оплату наставничества их наставникам при адаптации на рабочем месте.</w:t>
      </w:r>
    </w:p>
    <w:p>
      <w:pPr>
        <w:pStyle w:val="0"/>
        <w:spacing w:before="240" w:line-rule="auto"/>
        <w:ind w:firstLine="540"/>
        <w:jc w:val="both"/>
      </w:pPr>
      <w:r>
        <w:rPr>
          <w:sz w:val="24"/>
        </w:rPr>
        <w:t xml:space="preserve">4. Участниками Мероприятий являются незанятые инвалиды молодого возраста (от 18 до 44 лет), выпускники профессиональных образовательных организаций и образовательных организаций высшего образования, Работодатели, Министерство по труду и занятости населения Курской области (далее - Министерство), областное казенное учреждение "Центр занятости населения Курской области" (далее - Центр занятости).</w:t>
      </w:r>
    </w:p>
    <w:p>
      <w:pPr>
        <w:pStyle w:val="0"/>
        <w:spacing w:before="240" w:line-rule="auto"/>
        <w:ind w:firstLine="540"/>
        <w:jc w:val="both"/>
      </w:pPr>
      <w:r>
        <w:rPr>
          <w:sz w:val="24"/>
        </w:rPr>
        <w:t xml:space="preserve">5. Субсидия предоставляется в соответствии со сводной бюджетной росписью бюджета Курской области в пределах бюджетных ассигнований, предусмотренных в бюджете Курской области на очередной финансовый год и на плановый период, лимитов бюджетных обязательств, утвержденных Министерству на цель, указанную в </w:t>
      </w:r>
      <w:hyperlink w:history="0" w:anchor="P55" w:tooltip="3. Целью предоставления Субсидии является возмещение Работодателям фактически произведенных затрат на:">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6. Главным распорядителем бюджетных средств, предусмотренных на реализацию Мероприятия, является Министерство.</w:t>
      </w:r>
    </w:p>
    <w:bookmarkStart w:id="61" w:name="P61"/>
    <w:bookmarkEnd w:id="61"/>
    <w:p>
      <w:pPr>
        <w:pStyle w:val="0"/>
        <w:spacing w:before="240" w:line-rule="auto"/>
        <w:ind w:firstLine="540"/>
        <w:jc w:val="both"/>
      </w:pPr>
      <w:r>
        <w:rPr>
          <w:sz w:val="24"/>
        </w:rPr>
        <w:t xml:space="preserve">7. Критериями отбора Работодателей, имеющих право на получение Субсидии, являются:</w:t>
      </w:r>
    </w:p>
    <w:p>
      <w:pPr>
        <w:pStyle w:val="0"/>
        <w:spacing w:before="240" w:line-rule="auto"/>
        <w:ind w:firstLine="540"/>
        <w:jc w:val="both"/>
      </w:pPr>
      <w:r>
        <w:rPr>
          <w:sz w:val="24"/>
        </w:rPr>
        <w:t xml:space="preserve">а) осуществление деятельности на территории Курской области не менее года с даты государственной регистрации (постановка на учет в налоговом органе);</w:t>
      </w:r>
    </w:p>
    <w:p>
      <w:pPr>
        <w:pStyle w:val="0"/>
        <w:spacing w:before="240" w:line-rule="auto"/>
        <w:ind w:firstLine="540"/>
        <w:jc w:val="both"/>
      </w:pPr>
      <w:r>
        <w:rPr>
          <w:sz w:val="24"/>
        </w:rPr>
        <w:t xml:space="preserve">б) при организации стажировки - создание (выделение) временного рабочего места в соответствии с профессией (специальностью), получаемой стажером, и отвечающего требованиям законодательства Российской Федерации об охране труда;</w:t>
      </w:r>
    </w:p>
    <w:p>
      <w:pPr>
        <w:pStyle w:val="0"/>
        <w:spacing w:before="240" w:line-rule="auto"/>
        <w:ind w:firstLine="540"/>
        <w:jc w:val="both"/>
      </w:pPr>
      <w:r>
        <w:rPr>
          <w:sz w:val="24"/>
        </w:rPr>
        <w:t xml:space="preserve">в) при организации наставничества - создание (выделение) временного рабочего места в соответствии с индивидуальной программой реабилитации и абилитации инвалида, подходящего для трудоустройства, и отвечающего требованиям законодательства Российской Федерации об охране труда.</w:t>
      </w:r>
    </w:p>
    <w:p>
      <w:pPr>
        <w:pStyle w:val="0"/>
        <w:spacing w:before="240" w:line-rule="auto"/>
        <w:ind w:firstLine="540"/>
        <w:jc w:val="both"/>
      </w:pPr>
      <w:r>
        <w:rPr>
          <w:sz w:val="24"/>
        </w:rPr>
        <w:t xml:space="preserve">8. Субсидия предоставляется Министерством по результатам отбора Работодателей (далее - отбор). Способом проведения отбора является запрос предложений, который осуществляется Министерством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p>
    <w:p>
      <w:pPr>
        <w:pStyle w:val="0"/>
        <w:spacing w:before="240" w:line-rule="auto"/>
        <w:ind w:firstLine="540"/>
        <w:jc w:val="both"/>
      </w:pPr>
      <w:r>
        <w:rPr>
          <w:sz w:val="24"/>
        </w:rPr>
        <w:t xml:space="preserve">9.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II. Порядок проведения отбора</w:t>
      </w:r>
    </w:p>
    <w:p>
      <w:pPr>
        <w:pStyle w:val="0"/>
        <w:jc w:val="both"/>
      </w:pPr>
      <w:r>
        <w:rPr>
          <w:sz w:val="24"/>
        </w:rPr>
      </w:r>
    </w:p>
    <w:p>
      <w:pPr>
        <w:pStyle w:val="0"/>
        <w:ind w:firstLine="540"/>
        <w:jc w:val="both"/>
      </w:pPr>
      <w:r>
        <w:rPr>
          <w:sz w:val="24"/>
        </w:rPr>
        <w:t xml:space="preserve">10. Отбор проводится в форме запроса предложений, по результатам которого определяются участники отбора, признанные победителями отбора исходя из соответствия участника отбора критериям и очередности поступления заявок на участие в отборе (далее - заявки, получатели Субсидии).</w:t>
      </w:r>
    </w:p>
    <w:p>
      <w:pPr>
        <w:pStyle w:val="0"/>
        <w:spacing w:before="240" w:line-rule="auto"/>
        <w:ind w:firstLine="540"/>
        <w:jc w:val="both"/>
      </w:pPr>
      <w:r>
        <w:rPr>
          <w:sz w:val="24"/>
        </w:rPr>
        <w:t xml:space="preserve">11.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Для рассмотрения вопроса о заключении соглашения о предоставлении Субсидии (далее - Соглашение) Министерство образует комиссию, утверждает порядок ее работы и состав (далее - Комиссия). Число членов Комиссии должно быть нечетным и составлять не менее 5 человек.</w:t>
      </w:r>
    </w:p>
    <w:p>
      <w:pPr>
        <w:pStyle w:val="0"/>
        <w:spacing w:before="240" w:line-rule="auto"/>
        <w:ind w:firstLine="540"/>
        <w:jc w:val="both"/>
      </w:pPr>
      <w:r>
        <w:rPr>
          <w:sz w:val="24"/>
        </w:rPr>
        <w:t xml:space="preserve">12. Министерство не позднее 3 рабочих дней до даты начала подачи заявок размещает объявление о проведении отбора (далее - объявление) на едином портале, а также на официальном сайте Министерства (далее - официальный сайт) в информационно-телекоммуникационной сети "Интернет" с указанием в объявлении:</w:t>
      </w:r>
    </w:p>
    <w:p>
      <w:pPr>
        <w:pStyle w:val="0"/>
        <w:spacing w:before="240" w:line-rule="auto"/>
        <w:ind w:firstLine="540"/>
        <w:jc w:val="both"/>
      </w:pPr>
      <w:r>
        <w:rPr>
          <w:sz w:val="24"/>
        </w:rPr>
        <w:t xml:space="preserve">сроков проведения отбора;</w:t>
      </w:r>
    </w:p>
    <w:p>
      <w:pPr>
        <w:pStyle w:val="0"/>
        <w:spacing w:before="240" w:line-rule="auto"/>
        <w:ind w:firstLine="540"/>
        <w:jc w:val="both"/>
      </w:pPr>
      <w:r>
        <w:rPr>
          <w:sz w:val="24"/>
        </w:rPr>
        <w:t xml:space="preserve">даты и времени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результатов предоставления Субсидии в соответствии с </w:t>
      </w:r>
      <w:hyperlink w:history="0" w:anchor="P193" w:tooltip="41. Результатом предоставления Субсидии является:">
        <w:r>
          <w:rPr>
            <w:sz w:val="24"/>
            <w:color w:val="0000ff"/>
          </w:rPr>
          <w:t xml:space="preserve">пунктом 41</w:t>
        </w:r>
      </w:hyperlink>
      <w:r>
        <w:rPr>
          <w:sz w:val="24"/>
        </w:rPr>
        <w:t xml:space="preserve"> настоящего Порядка;</w:t>
      </w:r>
    </w:p>
    <w:p>
      <w:pPr>
        <w:pStyle w:val="0"/>
        <w:spacing w:before="240" w:line-rule="auto"/>
        <w:ind w:firstLine="540"/>
        <w:jc w:val="both"/>
      </w:pPr>
      <w:r>
        <w:rPr>
          <w:sz w:val="24"/>
        </w:rPr>
        <w:t xml:space="preserve">доменного имени системы "Электронный бюджет" и адреса официального сайта;</w:t>
      </w:r>
    </w:p>
    <w:p>
      <w:pPr>
        <w:pStyle w:val="0"/>
        <w:spacing w:before="240" w:line-rule="auto"/>
        <w:ind w:firstLine="540"/>
        <w:jc w:val="both"/>
      </w:pPr>
      <w:r>
        <w:rPr>
          <w:sz w:val="24"/>
        </w:rPr>
        <w:t xml:space="preserve">требований к участникам отбора в соответствии с </w:t>
      </w:r>
      <w:hyperlink w:history="0" w:anchor="P96" w:tooltip="15. На даты рассмотрения заявки и заключения Соглашения участники отбора должны соответствовать следующим требованиям:">
        <w:r>
          <w:rPr>
            <w:sz w:val="24"/>
            <w:color w:val="0000ff"/>
          </w:rPr>
          <w:t xml:space="preserve">пунктом 15</w:t>
        </w:r>
      </w:hyperlink>
      <w:r>
        <w:rPr>
          <w:sz w:val="24"/>
        </w:rPr>
        <w:t xml:space="preserve"> настоящего Порядка и к перечню документов, предоставляемых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критериев отбора в соответствии с </w:t>
      </w:r>
      <w:hyperlink w:history="0" w:anchor="P61" w:tooltip="7. Критериями отбора Работодателей, имеющих право на получение Субсидии, являются:">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history="0" w:anchor="P108" w:tooltip="17. Для участия в отборе участник отбора формирует в системе &quot;Электронный бюджет&quot; и предоставляет:">
        <w:r>
          <w:rPr>
            <w:sz w:val="24"/>
            <w:color w:val="0000ff"/>
          </w:rPr>
          <w:t xml:space="preserve">пунктом 17</w:t>
        </w:r>
      </w:hyperlink>
      <w:r>
        <w:rPr>
          <w:sz w:val="24"/>
        </w:rPr>
        <w:t xml:space="preserve"> настоящего Порядка;</w:t>
      </w:r>
    </w:p>
    <w:p>
      <w:pPr>
        <w:pStyle w:val="0"/>
        <w:spacing w:before="240" w:line-rule="auto"/>
        <w:ind w:firstLine="540"/>
        <w:jc w:val="both"/>
      </w:pPr>
      <w:r>
        <w:rPr>
          <w:sz w:val="24"/>
        </w:rPr>
        <w:t xml:space="preserve">порядка отзыва заявок участников отбора, порядка возврата заявок участников отбора, порядка внесения изменений в заявки участников отбора;</w:t>
      </w:r>
    </w:p>
    <w:p>
      <w:pPr>
        <w:pStyle w:val="0"/>
        <w:spacing w:before="240" w:line-rule="auto"/>
        <w:ind w:firstLine="540"/>
        <w:jc w:val="both"/>
      </w:pPr>
      <w:r>
        <w:rPr>
          <w:sz w:val="24"/>
        </w:rPr>
        <w:t xml:space="preserve">правил рассмотрения заявок участников отбора;</w:t>
      </w:r>
    </w:p>
    <w:p>
      <w:pPr>
        <w:pStyle w:val="0"/>
        <w:spacing w:before="240" w:line-rule="auto"/>
        <w:ind w:firstLine="540"/>
        <w:jc w:val="both"/>
      </w:pPr>
      <w:r>
        <w:rPr>
          <w:sz w:val="24"/>
        </w:rPr>
        <w:t xml:space="preserve">порядка возврата заявок на доработку;</w:t>
      </w:r>
    </w:p>
    <w:p>
      <w:pPr>
        <w:pStyle w:val="0"/>
        <w:spacing w:before="240" w:line-rule="auto"/>
        <w:ind w:firstLine="540"/>
        <w:jc w:val="both"/>
      </w:pPr>
      <w:r>
        <w:rPr>
          <w:sz w:val="24"/>
        </w:rPr>
        <w:t xml:space="preserve">порядка отклонения заявок, а также информации об основаниях их отклонения;</w:t>
      </w:r>
    </w:p>
    <w:p>
      <w:pPr>
        <w:pStyle w:val="0"/>
        <w:spacing w:before="240" w:line-rule="auto"/>
        <w:ind w:firstLine="540"/>
        <w:jc w:val="both"/>
      </w:pPr>
      <w:r>
        <w:rPr>
          <w:sz w:val="24"/>
        </w:rPr>
        <w:t xml:space="preserve">объема распределяемой Субсидии в рамках отбора, порядка расчета размера Субсидии в соответствии с </w:t>
      </w:r>
      <w:hyperlink w:history="0" w:anchor="P167" w:tooltip="III. Условия и порядок предоставления Субсидий">
        <w:r>
          <w:rPr>
            <w:sz w:val="24"/>
            <w:color w:val="0000ff"/>
          </w:rPr>
          <w:t xml:space="preserve">разделом III</w:t>
        </w:r>
      </w:hyperlink>
      <w:r>
        <w:rPr>
          <w:sz w:val="24"/>
        </w:rPr>
        <w:t xml:space="preserve"> настоящего Порядка, правил распределения Субсидии по результатам отбора, предельного количества победителей отбора;</w:t>
      </w:r>
    </w:p>
    <w:p>
      <w:pPr>
        <w:pStyle w:val="0"/>
        <w:spacing w:before="240" w:line-rule="auto"/>
        <w:ind w:firstLine="540"/>
        <w:jc w:val="both"/>
      </w:pPr>
      <w:r>
        <w:rPr>
          <w:sz w:val="24"/>
        </w:rPr>
        <w:t xml:space="preserve">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срока, в течение которого победитель отбора должен подписать Соглашение;</w:t>
      </w:r>
    </w:p>
    <w:p>
      <w:pPr>
        <w:pStyle w:val="0"/>
        <w:spacing w:before="240" w:line-rule="auto"/>
        <w:ind w:firstLine="540"/>
        <w:jc w:val="both"/>
      </w:pPr>
      <w:r>
        <w:rPr>
          <w:sz w:val="24"/>
        </w:rPr>
        <w:t xml:space="preserve">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сроков размещения протокола подведения итогов отбора на едином портале, а также на официальном сайте, которые не могут быть позднее 14-го календарного дня, следующего за днем определения победителя отбора.</w:t>
      </w:r>
    </w:p>
    <w:p>
      <w:pPr>
        <w:pStyle w:val="0"/>
        <w:spacing w:before="240" w:line-rule="auto"/>
        <w:ind w:firstLine="540"/>
        <w:jc w:val="both"/>
      </w:pPr>
      <w:r>
        <w:rPr>
          <w:sz w:val="24"/>
        </w:rPr>
        <w:t xml:space="preserve">13. Министерство не позднее наступления даты окончания приема заявок участников отбора вправе внести изменения в объявление о проведении отбора получателей Субсидий (далее - изменения в объявление). Изменение способа отбора получателей Субсидий не допускается.</w:t>
      </w:r>
    </w:p>
    <w:p>
      <w:pPr>
        <w:pStyle w:val="0"/>
        <w:spacing w:before="240" w:line-rule="auto"/>
        <w:ind w:firstLine="540"/>
        <w:jc w:val="both"/>
      </w:pPr>
      <w:r>
        <w:rPr>
          <w:sz w:val="24"/>
        </w:rPr>
        <w:t xml:space="preserve">При внесении изменений в объявление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pPr>
        <w:pStyle w:val="0"/>
        <w:spacing w:before="240" w:line-rule="auto"/>
        <w:ind w:firstLine="540"/>
        <w:jc w:val="both"/>
      </w:pPr>
      <w:r>
        <w:rPr>
          <w:sz w:val="24"/>
        </w:rPr>
        <w:t xml:space="preserve">14.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96" w:name="P96"/>
    <w:bookmarkEnd w:id="96"/>
    <w:p>
      <w:pPr>
        <w:pStyle w:val="0"/>
        <w:spacing w:before="240" w:line-rule="auto"/>
        <w:ind w:firstLine="540"/>
        <w:jc w:val="both"/>
      </w:pPr>
      <w:r>
        <w:rPr>
          <w:sz w:val="24"/>
        </w:rPr>
        <w:t xml:space="preserve">15. На даты рассмотрения заявки и заключения Соглашения участники отбора должны соответствовать следующим требованиям:</w:t>
      </w:r>
    </w:p>
    <w:p>
      <w:pPr>
        <w:pStyle w:val="0"/>
        <w:spacing w:before="240" w:line-rule="auto"/>
        <w:ind w:firstLine="540"/>
        <w:jc w:val="both"/>
      </w:pPr>
      <w:r>
        <w:rPr>
          <w:sz w:val="24"/>
        </w:rP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должен находиться в составляемых в рамках реализации полномочий, предусмотренных </w:t>
      </w:r>
      <w:hyperlink w:history="0" r:id="rId18"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должен получать средства из бюджета Курской области на основании иных нормативных правовых актов Курской области на цели, указанные в </w:t>
      </w:r>
      <w:hyperlink w:history="0" w:anchor="P55" w:tooltip="3. Целью предоставления Субсидии является возмещение Работодателям фактически произведенных затрат на:">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участник отбора не должен являться иностранным агентом в соответствии с Федеральным </w:t>
      </w:r>
      <w:hyperlink w:history="0" r:id="rId19" w:tooltip="Федеральный закон от 14.07.2022 N 255-ФЗ (ред. от 13.12.2024) &quot;О контроле за деятельностью лиц, находящихся под иностранным влиянием&quot; (с изм. и доп., вступ. в силу с 05.02.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должна отсутствовать или не превышать размер, определенный </w:t>
      </w:r>
      <w:hyperlink w:history="0" r:id="rId2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должна отсутствовать просроченная задолженность по возврату в бюджет Курской области иных субсидий, бюджетных инвестиций, а также иная просроченная (неурегулированная) задолженность по денежным обязательствам перед Курской областью;</w:t>
      </w:r>
    </w:p>
    <w:p>
      <w:pPr>
        <w:pStyle w:val="0"/>
        <w:spacing w:before="240" w:line-rule="auto"/>
        <w:ind w:firstLine="540"/>
        <w:jc w:val="both"/>
      </w:pPr>
      <w:r>
        <w:rPr>
          <w:sz w:val="24"/>
        </w:rPr>
        <w:t xml:space="preserve">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pPr>
        <w:pStyle w:val="0"/>
        <w:spacing w:before="240" w:line-rule="auto"/>
        <w:ind w:firstLine="540"/>
        <w:jc w:val="both"/>
      </w:pPr>
      <w:r>
        <w:rPr>
          <w:sz w:val="24"/>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pPr>
        <w:pStyle w:val="0"/>
        <w:spacing w:before="240" w:line-rule="auto"/>
        <w:ind w:firstLine="540"/>
        <w:jc w:val="both"/>
      </w:pPr>
      <w:r>
        <w:rPr>
          <w:sz w:val="24"/>
        </w:rPr>
        <w:t xml:space="preserve">у участника отбора должна отсутствовать задолженность по выплате заработной платы работникам.</w:t>
      </w:r>
    </w:p>
    <w:p>
      <w:pPr>
        <w:pStyle w:val="0"/>
        <w:spacing w:before="240" w:line-rule="auto"/>
        <w:ind w:firstLine="540"/>
        <w:jc w:val="both"/>
      </w:pPr>
      <w:r>
        <w:rPr>
          <w:sz w:val="24"/>
        </w:rPr>
        <w:t xml:space="preserve">16. Осуществление взаимодействия Министерства с участниками отбора осуществляется с использованием документов в электронной форме в системе "Электронный бюджет".</w:t>
      </w:r>
    </w:p>
    <w:bookmarkStart w:id="108" w:name="P108"/>
    <w:bookmarkEnd w:id="108"/>
    <w:p>
      <w:pPr>
        <w:pStyle w:val="0"/>
        <w:spacing w:before="240" w:line-rule="auto"/>
        <w:ind w:firstLine="540"/>
        <w:jc w:val="both"/>
      </w:pPr>
      <w:r>
        <w:rPr>
          <w:sz w:val="24"/>
        </w:rPr>
        <w:t xml:space="preserve">17. Для участия в отборе участник отбора формирует в системе "Электронный бюджет" и предоставляет:</w:t>
      </w:r>
    </w:p>
    <w:p>
      <w:pPr>
        <w:pStyle w:val="0"/>
        <w:spacing w:before="240" w:line-rule="auto"/>
        <w:ind w:firstLine="540"/>
        <w:jc w:val="both"/>
      </w:pPr>
      <w:r>
        <w:rPr>
          <w:sz w:val="24"/>
        </w:rPr>
        <w:t xml:space="preserve">а) заявку, которая в том числе включает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связанной с отбором;</w:t>
      </w:r>
    </w:p>
    <w:p>
      <w:pPr>
        <w:pStyle w:val="0"/>
        <w:spacing w:before="240" w:line-rule="auto"/>
        <w:ind w:firstLine="540"/>
        <w:jc w:val="both"/>
      </w:pPr>
      <w:r>
        <w:rPr>
          <w:sz w:val="24"/>
        </w:rPr>
        <w:t xml:space="preserve">б) копию документа, подтверждающего полномочия лица, подписавшего заявку, на подачу такой заявки;</w:t>
      </w:r>
    </w:p>
    <w:p>
      <w:pPr>
        <w:pStyle w:val="0"/>
        <w:spacing w:before="240" w:line-rule="auto"/>
        <w:ind w:firstLine="540"/>
        <w:jc w:val="both"/>
      </w:pPr>
      <w:r>
        <w:rPr>
          <w:sz w:val="24"/>
        </w:rPr>
        <w:t xml:space="preserve">в) договор об организации стажировки выпускников профессиональных образовательных организаций и образовательных организаций высшего образования или о сопровождении при трудоустройстве и адаптации на рабочем месте инвалидов молодого возраста (от 18 до 44 лет) силами наставника, заключенный с Центром занятости (далее - договор о сопровождении);</w:t>
      </w:r>
    </w:p>
    <w:p>
      <w:pPr>
        <w:pStyle w:val="0"/>
        <w:spacing w:before="240" w:line-rule="auto"/>
        <w:ind w:firstLine="540"/>
        <w:jc w:val="both"/>
      </w:pPr>
      <w:r>
        <w:rPr>
          <w:sz w:val="24"/>
        </w:rPr>
        <w:t xml:space="preserve">г) копии трудового договора, приказов (выписки из приказов) о приеме на работу стажера или инвалида молодого возраста (от 18 до 44 лет), о назначении наставника с указанием размера оплаты наставничества наставнику;</w:t>
      </w:r>
    </w:p>
    <w:p>
      <w:pPr>
        <w:pStyle w:val="0"/>
        <w:spacing w:before="240" w:line-rule="auto"/>
        <w:ind w:firstLine="540"/>
        <w:jc w:val="both"/>
      </w:pPr>
      <w:r>
        <w:rPr>
          <w:sz w:val="24"/>
        </w:rPr>
        <w:t xml:space="preserve">д) расчет затрат на предоставление субсидии на возмещение фактически произведенных затрат на оплату труда участников стажировки или на возмещение фактически произведенных затрат на оплату труда трудоустроенных инвалидов молодого возраста (от 18 до 44 лет) (в течение определенного периода времени) и оплату наставничества наставникам при адаптации на рабочем месте по </w:t>
      </w:r>
      <w:hyperlink w:history="0" r:id="rId21" w:tooltip="&quot;Форма и состав сведений Оферты 2 (волеизъявления на осуществление замещения еврооблигаций Российской Федерации путем передачи (уступки) держателем всех прав по замещаемым еврооблигациям Российской Федерации Минфину России) в соответствии с пунктом 8 Приложения 1 Приказа Минфина России от 5 сентября 2024 г. N 388 &quot;О замещении в 2024 году государственных ценных бумаг Российской Федерации, номинальная стоимость которых указана в иностранной валюте&quot; (согласовано с Минфином России, Банком России) {КонсультантПлюс}">
        <w:r>
          <w:rPr>
            <w:sz w:val="24"/>
            <w:color w:val="0000ff"/>
          </w:rPr>
          <w:t xml:space="preserve">форме</w:t>
        </w:r>
      </w:hyperlink>
      <w:r>
        <w:rPr>
          <w:sz w:val="24"/>
        </w:rPr>
        <w:t xml:space="preserve"> согласно приложению N 1 или N 2 к настоящему Порядку;</w:t>
      </w:r>
    </w:p>
    <w:p>
      <w:pPr>
        <w:pStyle w:val="0"/>
        <w:spacing w:before="240" w:line-rule="auto"/>
        <w:ind w:firstLine="540"/>
        <w:jc w:val="both"/>
      </w:pPr>
      <w:r>
        <w:rPr>
          <w:sz w:val="24"/>
        </w:rPr>
        <w:t xml:space="preserve">е) копии документов, подтверждающих фактически произведенные затраты на оплату труда стажеров или трудоустроенных инвалидов молодого возраста (от 18 до 44 лет) (в течение определенного периода времени) и оплату наставничества наставникам при адаптации на рабочем месте с начислениями на фонд оплаты труда, либо копии платежных поручений на перечисление указанных средств на банковскую карту, при выдаче наличными денежными средствами - заверенную Работодателем копию платежной ведомости;</w:t>
      </w:r>
    </w:p>
    <w:p>
      <w:pPr>
        <w:pStyle w:val="0"/>
        <w:spacing w:before="240" w:line-rule="auto"/>
        <w:ind w:firstLine="540"/>
        <w:jc w:val="both"/>
      </w:pPr>
      <w:r>
        <w:rPr>
          <w:sz w:val="24"/>
        </w:rPr>
        <w:t xml:space="preserve">ж) копии документов, подтверждающих фактическое перечисление страховых взносов в государственные внебюджетные фонды;</w:t>
      </w:r>
    </w:p>
    <w:p>
      <w:pPr>
        <w:pStyle w:val="0"/>
        <w:spacing w:before="240" w:line-rule="auto"/>
        <w:ind w:firstLine="540"/>
        <w:jc w:val="both"/>
      </w:pPr>
      <w:r>
        <w:rPr>
          <w:sz w:val="24"/>
        </w:rPr>
        <w:t xml:space="preserve">з) копию табеля учета рабочего времени;</w:t>
      </w:r>
    </w:p>
    <w:p>
      <w:pPr>
        <w:pStyle w:val="0"/>
        <w:spacing w:before="240" w:line-rule="auto"/>
        <w:ind w:firstLine="540"/>
        <w:jc w:val="both"/>
      </w:pPr>
      <w:r>
        <w:rPr>
          <w:sz w:val="24"/>
        </w:rPr>
        <w:t xml:space="preserve">и) копию акта сдачи-приемки выполненных работ (оказанных услуг).</w:t>
      </w:r>
    </w:p>
    <w:bookmarkStart w:id="118" w:name="P118"/>
    <w:bookmarkEnd w:id="118"/>
    <w:p>
      <w:pPr>
        <w:pStyle w:val="0"/>
        <w:spacing w:before="240" w:line-rule="auto"/>
        <w:ind w:firstLine="540"/>
        <w:jc w:val="both"/>
      </w:pPr>
      <w:r>
        <w:rPr>
          <w:sz w:val="24"/>
        </w:rPr>
        <w:t xml:space="preserve">18.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w:t>
      </w:r>
      <w:hyperlink w:history="0" w:anchor="P108" w:tooltip="17. Для участия в отборе участник отбора формирует в системе &quot;Электронный бюджет&quot; и предоставляет:">
        <w:r>
          <w:rPr>
            <w:sz w:val="24"/>
            <w:color w:val="0000ff"/>
          </w:rPr>
          <w:t xml:space="preserve">пункте 17</w:t>
        </w:r>
      </w:hyperlink>
      <w:r>
        <w:rPr>
          <w:sz w:val="24"/>
        </w:rPr>
        <w:t xml:space="preserve"> настоящего Порядка.</w:t>
      </w:r>
    </w:p>
    <w:p>
      <w:pPr>
        <w:pStyle w:val="0"/>
        <w:spacing w:before="240" w:line-rule="auto"/>
        <w:ind w:firstLine="540"/>
        <w:jc w:val="both"/>
      </w:pPr>
      <w:r>
        <w:rPr>
          <w:sz w:val="24"/>
        </w:rPr>
        <w:t xml:space="preserve">19. Заявка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40" w:line-rule="auto"/>
        <w:ind w:firstLine="540"/>
        <w:jc w:val="both"/>
      </w:pPr>
      <w:r>
        <w:rPr>
          <w:sz w:val="24"/>
        </w:rPr>
        <w:t xml:space="preserve">20. Участники отбора несут ответственность за достоверность и подлинность предоставленных ими документов и сведений для получения Субсидии в соответствии с законодательством Российской Федерации.</w:t>
      </w:r>
    </w:p>
    <w:p>
      <w:pPr>
        <w:pStyle w:val="0"/>
        <w:spacing w:before="240" w:line-rule="auto"/>
        <w:ind w:firstLine="540"/>
        <w:jc w:val="both"/>
      </w:pPr>
      <w:r>
        <w:rPr>
          <w:sz w:val="24"/>
        </w:rPr>
        <w:t xml:space="preserve">Работодатель вправе подать одну заявку на участие в отборе. В случае проведения Министерством нескольких отборов в течение текущего года Работодатель вправе участвовать в каждом из них.</w:t>
      </w:r>
    </w:p>
    <w:p>
      <w:pPr>
        <w:pStyle w:val="0"/>
        <w:spacing w:before="240" w:line-rule="auto"/>
        <w:ind w:firstLine="540"/>
        <w:jc w:val="both"/>
      </w:pPr>
      <w:r>
        <w:rPr>
          <w:sz w:val="24"/>
        </w:rPr>
        <w:t xml:space="preserve">21. Датой предоставления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Ранжирование поступивших заявок осуществляется исходя из соответствия участников отбора критериям и очередности поступления заявок.</w:t>
      </w:r>
    </w:p>
    <w:p>
      <w:pPr>
        <w:pStyle w:val="0"/>
        <w:spacing w:before="240" w:line-rule="auto"/>
        <w:ind w:firstLine="540"/>
        <w:jc w:val="both"/>
      </w:pPr>
      <w:r>
        <w:rPr>
          <w:sz w:val="24"/>
        </w:rPr>
        <w:t xml:space="preserve">22. Участник отбора со дня размещения объявления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Министерство в ответ на запрос в срок не позднее одного рабочего дня до дня завершения подачи заявок, путем формирования в системе "Электронный бюджет" соответствующего разъяснения, направляет разъяснение положений объявления.</w:t>
      </w:r>
    </w:p>
    <w:p>
      <w:pPr>
        <w:pStyle w:val="0"/>
        <w:spacing w:before="240" w:line-rule="auto"/>
        <w:ind w:firstLine="540"/>
        <w:jc w:val="both"/>
      </w:pPr>
      <w:r>
        <w:rPr>
          <w:sz w:val="24"/>
        </w:rPr>
        <w:t xml:space="preserve">23. Не позднее одного рабочего дня, следующего за днем окончания срока подачи заявок, установленного в объявлении о проведении отбора, Комиссии в системе "Электронный бюджет" открывается доступ к поданным участниками отбора заявкам для их рассмотрения.</w:t>
      </w:r>
    </w:p>
    <w:p>
      <w:pPr>
        <w:pStyle w:val="0"/>
        <w:spacing w:before="240" w:line-rule="auto"/>
        <w:ind w:firstLine="540"/>
        <w:jc w:val="both"/>
      </w:pPr>
      <w:r>
        <w:rPr>
          <w:sz w:val="24"/>
        </w:rPr>
        <w:t xml:space="preserve">24. Комиссия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w:t>
      </w:r>
    </w:p>
    <w:p>
      <w:pPr>
        <w:pStyle w:val="0"/>
        <w:spacing w:before="240" w:line-rule="auto"/>
        <w:ind w:firstLine="540"/>
        <w:jc w:val="both"/>
      </w:pPr>
      <w:r>
        <w:rPr>
          <w:sz w:val="24"/>
        </w:rPr>
        <w:t xml:space="preserve">а) регистрационный номер заявки;</w:t>
      </w:r>
    </w:p>
    <w:p>
      <w:pPr>
        <w:pStyle w:val="0"/>
        <w:spacing w:before="240" w:line-rule="auto"/>
        <w:ind w:firstLine="540"/>
        <w:jc w:val="both"/>
      </w:pPr>
      <w:r>
        <w:rPr>
          <w:sz w:val="24"/>
        </w:rPr>
        <w:t xml:space="preserve">б) дата и время поступления заявки;</w:t>
      </w:r>
    </w:p>
    <w:p>
      <w:pPr>
        <w:pStyle w:val="0"/>
        <w:spacing w:before="240" w:line-rule="auto"/>
        <w:ind w:firstLine="540"/>
        <w:jc w:val="both"/>
      </w:pPr>
      <w:r>
        <w:rPr>
          <w:sz w:val="24"/>
        </w:rPr>
        <w:t xml:space="preserve">в)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г)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д) запрашиваемый участником отбора размер Субсидии.</w:t>
      </w:r>
    </w:p>
    <w:p>
      <w:pPr>
        <w:pStyle w:val="0"/>
        <w:spacing w:before="240" w:line-rule="auto"/>
        <w:ind w:firstLine="540"/>
        <w:jc w:val="both"/>
      </w:pPr>
      <w:r>
        <w:rPr>
          <w:sz w:val="24"/>
        </w:rPr>
        <w:t xml:space="preserve">25.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26. Участник отбора в срок не позднее даты окончания приема заявок вправе отозвать поданную им заявку путем формирования в электронной форме уведомления об отзыве заявки с использованием системы "Электронный бюджет".</w:t>
      </w:r>
    </w:p>
    <w:p>
      <w:pPr>
        <w:pStyle w:val="0"/>
        <w:spacing w:before="240" w:line-rule="auto"/>
        <w:ind w:firstLine="540"/>
        <w:jc w:val="both"/>
      </w:pPr>
      <w:r>
        <w:rPr>
          <w:sz w:val="24"/>
        </w:rPr>
        <w:t xml:space="preserve">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w:t>
      </w:r>
    </w:p>
    <w:p>
      <w:pPr>
        <w:pStyle w:val="0"/>
        <w:spacing w:before="240" w:line-rule="auto"/>
        <w:ind w:firstLine="540"/>
        <w:jc w:val="both"/>
      </w:pPr>
      <w:r>
        <w:rPr>
          <w:sz w:val="24"/>
        </w:rPr>
        <w:t xml:space="preserve">27. Участник отбора в срок не позднее даты окончания приема заявок вправе внести изменения в заявку после формирования в электронной форме уведомления об отзыве заявки в соответствии с пунктом 26 настоящего Порядка и последующего формирования новой заявки.</w:t>
      </w:r>
    </w:p>
    <w:p>
      <w:pPr>
        <w:pStyle w:val="0"/>
        <w:spacing w:before="240" w:line-rule="auto"/>
        <w:ind w:firstLine="540"/>
        <w:jc w:val="both"/>
      </w:pPr>
      <w:r>
        <w:rPr>
          <w:sz w:val="24"/>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118" w:tooltip="18. Заявки формируются участниками отбора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указанных в пункте 17 настоящего Порядка.">
        <w:r>
          <w:rPr>
            <w:sz w:val="24"/>
            <w:color w:val="0000ff"/>
          </w:rPr>
          <w:t xml:space="preserve">пункте 18</w:t>
        </w:r>
      </w:hyperlink>
      <w:r>
        <w:rPr>
          <w:sz w:val="24"/>
        </w:rPr>
        <w:t xml:space="preserve"> настоящего Порядка.</w:t>
      </w:r>
    </w:p>
    <w:bookmarkStart w:id="138" w:name="P138"/>
    <w:bookmarkEnd w:id="138"/>
    <w:p>
      <w:pPr>
        <w:pStyle w:val="0"/>
        <w:spacing w:before="240" w:line-rule="auto"/>
        <w:ind w:firstLine="540"/>
        <w:jc w:val="both"/>
      </w:pPr>
      <w:r>
        <w:rPr>
          <w:sz w:val="24"/>
        </w:rPr>
        <w:t xml:space="preserve">28. Комиссия в течение 7 рабочих дней со дня завершения приема документов для участия в отборе проверяет соответствие участников отбора, а также предоставленных ими документов для участия в отборе требованиям, установленным настоящим Порядком и в объявлении, принимает решение о признании участников отбора победителями отбора и заключении Соглашения либо об отказе в предоставлении Субсидии.</w:t>
      </w:r>
    </w:p>
    <w:p>
      <w:pPr>
        <w:pStyle w:val="0"/>
        <w:spacing w:before="240" w:line-rule="auto"/>
        <w:ind w:firstLine="540"/>
        <w:jc w:val="both"/>
      </w:pPr>
      <w:r>
        <w:rPr>
          <w:sz w:val="24"/>
        </w:rPr>
        <w:t xml:space="preserve">29. В случаях предоставления участником отбора документов с недостатками технического характера (файл с документом низкого качества и не позволяет понять содержание документа, нечитаем) Министерство в течение 2 рабочих дней со дня подписания протокола вскрытия заявок уведомляет участника отбора о выявленных недостатках и возвращает заявку на доработку.</w:t>
      </w:r>
    </w:p>
    <w:p>
      <w:pPr>
        <w:pStyle w:val="0"/>
        <w:spacing w:before="240" w:line-rule="auto"/>
        <w:ind w:firstLine="540"/>
        <w:jc w:val="both"/>
      </w:pPr>
      <w:r>
        <w:rPr>
          <w:sz w:val="24"/>
        </w:rPr>
        <w:t xml:space="preserve">Участник отбора, устранивший выявленные Министерством недостатки, вправе направить скорректированную заявку в срок не позднее одного рабочего дня до даты окончания срока рассмотрения заявок, указанного в </w:t>
      </w:r>
      <w:hyperlink w:history="0" w:anchor="P138" w:tooltip="28. Комиссия в течение 7 рабочих дней со дня завершения приема документов для участия в отборе проверяет соответствие участников отбора, а также предоставленных ими документов для участия в отборе требованиям, установленным настоящим Порядком и в объявлении, принимает решение о признании участников отбора победителями отбора и заключении Соглашения либо об отказе в предоставлении Субсидии.">
        <w:r>
          <w:rPr>
            <w:sz w:val="24"/>
            <w:color w:val="0000ff"/>
          </w:rPr>
          <w:t xml:space="preserve">пункте 28</w:t>
        </w:r>
      </w:hyperlink>
      <w:r>
        <w:rPr>
          <w:sz w:val="24"/>
        </w:rPr>
        <w:t xml:space="preserve"> настоящего Порядка.</w:t>
      </w:r>
    </w:p>
    <w:p>
      <w:pPr>
        <w:pStyle w:val="0"/>
        <w:spacing w:before="240" w:line-rule="auto"/>
        <w:ind w:firstLine="540"/>
        <w:jc w:val="both"/>
      </w:pPr>
      <w:r>
        <w:rPr>
          <w:sz w:val="24"/>
        </w:rPr>
        <w:t xml:space="preserve">30. Основаниями для отклонения заявки являются:</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96" w:tooltip="15. На даты рассмотрения заявки и заключения Соглашения участники отбора должны соответствовать следующим требованиям:">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непредоставление (предоставление не в полном объеме) участником отбора документов, предусмотренных </w:t>
      </w:r>
      <w:hyperlink w:history="0" w:anchor="P108" w:tooltip="17. Для участия в отборе участник отбора формирует в системе &quot;Электронный бюджет&quot; и предоставляет:">
        <w:r>
          <w:rPr>
            <w:sz w:val="24"/>
            <w:color w:val="0000ff"/>
          </w:rPr>
          <w:t xml:space="preserve">пунктом 17</w:t>
        </w:r>
      </w:hyperlink>
      <w:r>
        <w:rPr>
          <w:sz w:val="24"/>
        </w:rPr>
        <w:t xml:space="preserve"> настоящего Порядка;</w:t>
      </w:r>
    </w:p>
    <w:p>
      <w:pPr>
        <w:pStyle w:val="0"/>
        <w:spacing w:before="240" w:line-rule="auto"/>
        <w:ind w:firstLine="540"/>
        <w:jc w:val="both"/>
      </w:pPr>
      <w:r>
        <w:rPr>
          <w:sz w:val="24"/>
        </w:rPr>
        <w:t xml:space="preserve">несоответствие предоставленных участником отбора заявки и документов требованиям, предусмотренным </w:t>
      </w:r>
      <w:hyperlink w:history="0" w:anchor="P118" w:tooltip="18. Заявки формируются участниками отбора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указанных в пункте 17 настоящего Порядка.">
        <w:r>
          <w:rPr>
            <w:sz w:val="24"/>
            <w:color w:val="0000ff"/>
          </w:rPr>
          <w:t xml:space="preserve">пунктом 18</w:t>
        </w:r>
      </w:hyperlink>
      <w:r>
        <w:rPr>
          <w:sz w:val="24"/>
        </w:rPr>
        <w:t xml:space="preserve"> настоящего Порядка;</w:t>
      </w:r>
    </w:p>
    <w:p>
      <w:pPr>
        <w:pStyle w:val="0"/>
        <w:spacing w:before="240" w:line-rule="auto"/>
        <w:ind w:firstLine="540"/>
        <w:jc w:val="both"/>
      </w:pPr>
      <w:r>
        <w:rPr>
          <w:sz w:val="24"/>
        </w:rPr>
        <w:t xml:space="preserve">установление факта недостоверности представленной участником отбора информации, содержащейся в документах, представленных в составе заявки, в том числе информации о месте нахождения и адресе юридического лица;</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31. В случае если по окончании срока подачи заявок не подано ни одной заявки или по результатам рассмотрения заявок все заявки отклонены, отбор признается несостоявшимся.</w:t>
      </w:r>
    </w:p>
    <w:p>
      <w:pPr>
        <w:pStyle w:val="0"/>
        <w:spacing w:before="240" w:line-rule="auto"/>
        <w:ind w:firstLine="540"/>
        <w:jc w:val="both"/>
      </w:pPr>
      <w:r>
        <w:rPr>
          <w:sz w:val="24"/>
        </w:rPr>
        <w:t xml:space="preserve">32. Победителями отбора признаются участники отбора, включенные в рейтинг, сформированный Министерством по результатам ранжирования поступивших заявок.</w:t>
      </w:r>
    </w:p>
    <w:p>
      <w:pPr>
        <w:pStyle w:val="0"/>
        <w:spacing w:before="240" w:line-rule="auto"/>
        <w:ind w:firstLine="540"/>
        <w:jc w:val="both"/>
      </w:pPr>
      <w:r>
        <w:rPr>
          <w:sz w:val="24"/>
        </w:rPr>
        <w:t xml:space="preserve">Проверка участника отбора на соответствие требованиям, указанным в </w:t>
      </w:r>
      <w:hyperlink w:history="0" w:anchor="P96" w:tooltip="15. На даты рассмотрения заявки и заключения Соглашения участники отбора должны соответствовать следующим требованиям:">
        <w:r>
          <w:rPr>
            <w:sz w:val="24"/>
            <w:color w:val="0000ff"/>
          </w:rPr>
          <w:t xml:space="preserve">пункте 15</w:t>
        </w:r>
      </w:hyperlink>
      <w:r>
        <w:rPr>
          <w:sz w:val="24"/>
        </w:rP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вышеуказанным требованиям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Министерство не вправе требовать от участника отбора предоставления документов и информации в целях подтверждения соответствия его требованиям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по собственной инициативе.</w:t>
      </w:r>
    </w:p>
    <w:p>
      <w:pPr>
        <w:pStyle w:val="0"/>
        <w:spacing w:before="240" w:line-rule="auto"/>
        <w:ind w:firstLine="540"/>
        <w:jc w:val="both"/>
      </w:pPr>
      <w:r>
        <w:rPr>
          <w:sz w:val="24"/>
        </w:rPr>
        <w:t xml:space="preserve">33. В целях завершения отбора получателей Субсидий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pPr>
        <w:pStyle w:val="0"/>
        <w:spacing w:before="240" w:line-rule="auto"/>
        <w:ind w:firstLine="540"/>
        <w:jc w:val="both"/>
      </w:pPr>
      <w:r>
        <w:rPr>
          <w:sz w:val="24"/>
        </w:rPr>
        <w:t xml:space="preserve">34.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pPr>
        <w:pStyle w:val="0"/>
        <w:spacing w:before="240" w:line-rule="auto"/>
        <w:ind w:firstLine="540"/>
        <w:jc w:val="both"/>
      </w:pPr>
      <w:r>
        <w:rPr>
          <w:sz w:val="24"/>
        </w:rPr>
        <w:t xml:space="preserve">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pStyle w:val="0"/>
        <w:spacing w:before="240" w:line-rule="auto"/>
        <w:ind w:firstLine="540"/>
        <w:jc w:val="both"/>
      </w:pPr>
      <w:r>
        <w:rPr>
          <w:sz w:val="24"/>
        </w:rPr>
        <w:t xml:space="preserve">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pPr>
        <w:pStyle w:val="0"/>
        <w:spacing w:before="240" w:line-rule="auto"/>
        <w:ind w:firstLine="540"/>
        <w:jc w:val="both"/>
      </w:pPr>
      <w:r>
        <w:rPr>
          <w:sz w:val="24"/>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без изменения указанного участником отбора в заявке значения результата предоставления Субсидии.</w:t>
      </w:r>
    </w:p>
    <w:p>
      <w:pPr>
        <w:pStyle w:val="0"/>
        <w:spacing w:before="240" w:line-rule="auto"/>
        <w:ind w:firstLine="540"/>
        <w:jc w:val="both"/>
      </w:pPr>
      <w:r>
        <w:rPr>
          <w:sz w:val="24"/>
        </w:rPr>
        <w:t xml:space="preserve">При указании в протоколе подведения итогов отбора размера Субсидии,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pStyle w:val="0"/>
        <w:spacing w:before="240" w:line-rule="auto"/>
        <w:ind w:firstLine="540"/>
        <w:jc w:val="both"/>
      </w:pPr>
      <w:r>
        <w:rPr>
          <w:sz w:val="24"/>
        </w:rPr>
        <w:t xml:space="preserve">35. Комиссия не позднее 1-го рабочего дня со дня окончания срока, указанного в </w:t>
      </w:r>
      <w:hyperlink w:history="0" w:anchor="P138" w:tooltip="28. Комиссия в течение 7 рабочих дней со дня завершения приема документов для участия в отборе проверяет соответствие участников отбора, а также предоставленных ими документов для участия в отборе требованиям, установленным настоящим Порядком и в объявлении, принимает решение о признании участников отбора победителями отбора и заключении Соглашения либо об отказе в предоставлении Субсидии.">
        <w:r>
          <w:rPr>
            <w:sz w:val="24"/>
            <w:color w:val="0000ff"/>
          </w:rPr>
          <w:t xml:space="preserve">пункте 28</w:t>
        </w:r>
      </w:hyperlink>
      <w:r>
        <w:rPr>
          <w:sz w:val="24"/>
        </w:rPr>
        <w:t xml:space="preserve"> настоящего Порядка, подписывает протокол подведения итогов отбора, содержащий следующую информацию:</w:t>
      </w:r>
    </w:p>
    <w:p>
      <w:pPr>
        <w:pStyle w:val="0"/>
        <w:spacing w:before="240" w:line-rule="auto"/>
        <w:ind w:firstLine="540"/>
        <w:jc w:val="both"/>
      </w:pPr>
      <w:r>
        <w:rPr>
          <w:sz w:val="24"/>
        </w:rPr>
        <w:t xml:space="preserve">а) дата, время и место проведения рассмотрения заявок;</w:t>
      </w:r>
    </w:p>
    <w:p>
      <w:pPr>
        <w:pStyle w:val="0"/>
        <w:spacing w:before="240" w:line-rule="auto"/>
        <w:ind w:firstLine="540"/>
        <w:jc w:val="both"/>
      </w:pPr>
      <w:r>
        <w:rPr>
          <w:sz w:val="24"/>
        </w:rPr>
        <w:t xml:space="preserve">б) информация об участниках отбора, заявки которых были рассмотрены;</w:t>
      </w:r>
    </w:p>
    <w:p>
      <w:pPr>
        <w:pStyle w:val="0"/>
        <w:spacing w:before="240" w:line-rule="auto"/>
        <w:ind w:firstLine="540"/>
        <w:jc w:val="both"/>
      </w:pPr>
      <w:r>
        <w:rPr>
          <w:sz w:val="24"/>
        </w:rPr>
        <w:t xml:space="preserve">в)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pPr>
        <w:pStyle w:val="0"/>
        <w:spacing w:before="240" w:line-rule="auto"/>
        <w:ind w:firstLine="540"/>
        <w:jc w:val="both"/>
      </w:pPr>
      <w:r>
        <w:rPr>
          <w:sz w:val="24"/>
        </w:rPr>
        <w:t xml:space="preserve">г) наименования получателей Субсидии, с которыми заключаются Соглашения, и размер предоставляемой им Субсидии.</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36. Решение Комиссии может быть обжаловано в судебном порядке в соответствии с законодательством Российской Федерации.</w:t>
      </w:r>
    </w:p>
    <w:p>
      <w:pPr>
        <w:pStyle w:val="0"/>
        <w:jc w:val="both"/>
      </w:pPr>
      <w:r>
        <w:rPr>
          <w:sz w:val="24"/>
        </w:rPr>
      </w:r>
    </w:p>
    <w:bookmarkStart w:id="167" w:name="P167"/>
    <w:bookmarkEnd w:id="167"/>
    <w:p>
      <w:pPr>
        <w:pStyle w:val="2"/>
        <w:outlineLvl w:val="1"/>
        <w:jc w:val="center"/>
      </w:pPr>
      <w:r>
        <w:rPr>
          <w:sz w:val="24"/>
        </w:rPr>
        <w:t xml:space="preserve">III. Условия и порядок предоставления Субсидий</w:t>
      </w:r>
    </w:p>
    <w:p>
      <w:pPr>
        <w:pStyle w:val="0"/>
        <w:jc w:val="both"/>
      </w:pPr>
      <w:r>
        <w:rPr>
          <w:sz w:val="24"/>
        </w:rPr>
      </w:r>
    </w:p>
    <w:p>
      <w:pPr>
        <w:pStyle w:val="0"/>
        <w:ind w:firstLine="540"/>
        <w:jc w:val="both"/>
      </w:pPr>
      <w:r>
        <w:rPr>
          <w:sz w:val="24"/>
        </w:rPr>
        <w:t xml:space="preserve">37. Получатель Субсидии должен соответствовать требованиям, указанным в </w:t>
      </w:r>
      <w:hyperlink w:history="0" w:anchor="P96" w:tooltip="15. На даты рассмотрения заявки и заключения Соглашения участники отбора должны соответствовать следующим требованиям:">
        <w:r>
          <w:rPr>
            <w:sz w:val="24"/>
            <w:color w:val="0000ff"/>
          </w:rPr>
          <w:t xml:space="preserve">пункте 15</w:t>
        </w:r>
      </w:hyperlink>
      <w:r>
        <w:rPr>
          <w:sz w:val="24"/>
        </w:rPr>
        <w:t xml:space="preserve"> настоящего Порядка, на дату подачи заявки участника отбора.</w:t>
      </w:r>
    </w:p>
    <w:p>
      <w:pPr>
        <w:pStyle w:val="0"/>
        <w:spacing w:before="240" w:line-rule="auto"/>
        <w:ind w:firstLine="540"/>
        <w:jc w:val="both"/>
      </w:pPr>
      <w:r>
        <w:rPr>
          <w:sz w:val="24"/>
        </w:rPr>
        <w:t xml:space="preserve">38. Размер Субсидии на реализацию мероприятия, указанного в </w:t>
      </w:r>
      <w:hyperlink w:history="0" w:anchor="P56" w:tooltip="а) оплату труда выпускников профессиональных образовательных организаций и образовательных организаций высшего образования, проходящих стажировку, и оплату труда наставничества их наставникам;">
        <w:r>
          <w:rPr>
            <w:sz w:val="24"/>
            <w:color w:val="0000ff"/>
          </w:rPr>
          <w:t xml:space="preserve">подпункте "а" пункта 3</w:t>
        </w:r>
      </w:hyperlink>
      <w:r>
        <w:rPr>
          <w:sz w:val="24"/>
        </w:rPr>
        <w:t xml:space="preserve"> настоящего Порядка, определяется по формуле:</w:t>
      </w:r>
    </w:p>
    <w:p>
      <w:pPr>
        <w:pStyle w:val="0"/>
        <w:jc w:val="both"/>
      </w:pPr>
      <w:r>
        <w:rPr>
          <w:sz w:val="24"/>
        </w:rPr>
      </w:r>
    </w:p>
    <w:p>
      <w:pPr>
        <w:pStyle w:val="0"/>
        <w:ind w:firstLine="540"/>
        <w:jc w:val="both"/>
      </w:pPr>
      <w:r>
        <w:rPr>
          <w:sz w:val="24"/>
        </w:rPr>
        <w:t xml:space="preserve">Sст = Nст x (Сзпст + Сзпнаст) x Рст,</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Sст - размер возмещения затрат на организацию стажировки, рублей;</w:t>
      </w:r>
    </w:p>
    <w:p>
      <w:pPr>
        <w:pStyle w:val="0"/>
        <w:spacing w:before="240" w:line-rule="auto"/>
        <w:ind w:firstLine="540"/>
        <w:jc w:val="both"/>
      </w:pPr>
      <w:r>
        <w:rPr>
          <w:sz w:val="24"/>
        </w:rPr>
        <w:t xml:space="preserve">Nст - численность стажеров, человек;</w:t>
      </w:r>
    </w:p>
    <w:p>
      <w:pPr>
        <w:pStyle w:val="0"/>
        <w:spacing w:before="240" w:line-rule="auto"/>
        <w:ind w:firstLine="540"/>
        <w:jc w:val="both"/>
      </w:pPr>
      <w:r>
        <w:rPr>
          <w:sz w:val="24"/>
        </w:rPr>
        <w:t xml:space="preserve">Сзпст - размер возмещения затрат на оплату труда стажеров, равный величине минимального размера оплаты труда, установленного Федеральным </w:t>
      </w:r>
      <w:hyperlink w:history="0" r:id="rId22" w:tooltip="Федеральный закон от 19.06.2000 N 82-ФЗ (ред. от 29.10.2024) &quot;О минимальном размере оплаты труда&quot; {КонсультантПлюс}">
        <w:r>
          <w:rPr>
            <w:sz w:val="24"/>
            <w:color w:val="0000ff"/>
          </w:rPr>
          <w:t xml:space="preserve">законом</w:t>
        </w:r>
      </w:hyperlink>
      <w:r>
        <w:rPr>
          <w:sz w:val="24"/>
        </w:rPr>
        <w:t xml:space="preserve"> от 19 июня 2000 года N 82-ФЗ "О минимальном размере оплаты труда", увеличенного на сумму страховых взносов в государственные внебюджетные фонды, рублей;</w:t>
      </w:r>
    </w:p>
    <w:p>
      <w:pPr>
        <w:pStyle w:val="0"/>
        <w:spacing w:before="240" w:line-rule="auto"/>
        <w:ind w:firstLine="540"/>
        <w:jc w:val="both"/>
      </w:pPr>
      <w:r>
        <w:rPr>
          <w:sz w:val="24"/>
        </w:rPr>
        <w:t xml:space="preserve">Сзпнаст - размер возмещения затрат на оплату наставничества наставнику, равный половине величины минимального размера оплаты труда, установленного Федеральным </w:t>
      </w:r>
      <w:hyperlink w:history="0" r:id="rId23" w:tooltip="Федеральный закон от 19.06.2000 N 82-ФЗ (ред. от 29.10.2024) &quot;О минимальном размере оплаты труда&quot; {КонсультантПлюс}">
        <w:r>
          <w:rPr>
            <w:sz w:val="24"/>
            <w:color w:val="0000ff"/>
          </w:rPr>
          <w:t xml:space="preserve">законом</w:t>
        </w:r>
      </w:hyperlink>
      <w:r>
        <w:rPr>
          <w:sz w:val="24"/>
        </w:rPr>
        <w:t xml:space="preserve"> от 19 июня 2000 года N 82-ФЗ "О минимальном размере оплаты труда", увеличенного на сумму страховых взносов в государственные внебюджетные фонды, рублей;</w:t>
      </w:r>
    </w:p>
    <w:p>
      <w:pPr>
        <w:pStyle w:val="0"/>
        <w:spacing w:before="240" w:line-rule="auto"/>
        <w:ind w:firstLine="540"/>
        <w:jc w:val="both"/>
      </w:pPr>
      <w:r>
        <w:rPr>
          <w:sz w:val="24"/>
        </w:rPr>
        <w:t xml:space="preserve">Рст - период стажировки, не превышающий 3 месяца.</w:t>
      </w:r>
    </w:p>
    <w:p>
      <w:pPr>
        <w:pStyle w:val="0"/>
        <w:spacing w:before="240" w:line-rule="auto"/>
        <w:ind w:firstLine="540"/>
        <w:jc w:val="both"/>
      </w:pPr>
      <w:r>
        <w:rPr>
          <w:sz w:val="24"/>
        </w:rPr>
        <w:t xml:space="preserve">39. Размер Субсидии на реализацию мероприятия, указанного в </w:t>
      </w:r>
      <w:hyperlink w:history="0" w:anchor="P57" w:tooltip="б) оплату труда трудоустроенных (в течение определенного периода времени) инвалидов молодого возраста (от 18 до 44 лет) и оплату наставничества их наставникам при адаптации на рабочем месте.">
        <w:r>
          <w:rPr>
            <w:sz w:val="24"/>
            <w:color w:val="0000ff"/>
          </w:rPr>
          <w:t xml:space="preserve">подпункте "б" пункта 3</w:t>
        </w:r>
      </w:hyperlink>
      <w:r>
        <w:rPr>
          <w:sz w:val="24"/>
        </w:rPr>
        <w:t xml:space="preserve"> настоящего Порядка, определяется по формуле:</w:t>
      </w:r>
    </w:p>
    <w:p>
      <w:pPr>
        <w:pStyle w:val="0"/>
        <w:jc w:val="both"/>
      </w:pPr>
      <w:r>
        <w:rPr>
          <w:sz w:val="24"/>
        </w:rPr>
      </w:r>
    </w:p>
    <w:p>
      <w:pPr>
        <w:pStyle w:val="0"/>
        <w:ind w:firstLine="540"/>
        <w:jc w:val="both"/>
      </w:pPr>
      <w:r>
        <w:rPr>
          <w:sz w:val="24"/>
        </w:rPr>
        <w:t xml:space="preserve">Sад = Nи x (Сзпи + Сзпнаст) x Рад,</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Sад - размер возмещения затрат на адаптацию инвалидов молодого возраста на рабочем месте силами наставника, рублей;</w:t>
      </w:r>
    </w:p>
    <w:p>
      <w:pPr>
        <w:pStyle w:val="0"/>
        <w:spacing w:before="240" w:line-rule="auto"/>
        <w:ind w:firstLine="540"/>
        <w:jc w:val="both"/>
      </w:pPr>
      <w:r>
        <w:rPr>
          <w:sz w:val="24"/>
        </w:rPr>
        <w:t xml:space="preserve">Nи - численность трудоустроенных инвалидов молодого возраста (от 18 до 44 лет), человек;</w:t>
      </w:r>
    </w:p>
    <w:p>
      <w:pPr>
        <w:pStyle w:val="0"/>
        <w:spacing w:before="240" w:line-rule="auto"/>
        <w:ind w:firstLine="540"/>
        <w:jc w:val="both"/>
      </w:pPr>
      <w:r>
        <w:rPr>
          <w:sz w:val="24"/>
        </w:rPr>
        <w:t xml:space="preserve">Сзпи - размер возмещения затрат на оплату труда трудоустроенных инвалидов молодого возраста (от 18 до 44 лет), равный величине минимального размера оплаты труда, установленного Федеральным </w:t>
      </w:r>
      <w:hyperlink w:history="0" r:id="rId24" w:tooltip="Федеральный закон от 19.06.2000 N 82-ФЗ (ред. от 29.10.2024) &quot;О минимальном размере оплаты труда&quot; {КонсультантПлюс}">
        <w:r>
          <w:rPr>
            <w:sz w:val="24"/>
            <w:color w:val="0000ff"/>
          </w:rPr>
          <w:t xml:space="preserve">законом</w:t>
        </w:r>
      </w:hyperlink>
      <w:r>
        <w:rPr>
          <w:sz w:val="24"/>
        </w:rPr>
        <w:t xml:space="preserve"> от 19 июня 2000 года N 82-ФЗ "О минимальном размере оплаты труда", увеличенного на сумму страховых взносов в государственные внебюджетные фонды, рублей;</w:t>
      </w:r>
    </w:p>
    <w:p>
      <w:pPr>
        <w:pStyle w:val="0"/>
        <w:spacing w:before="240" w:line-rule="auto"/>
        <w:ind w:firstLine="540"/>
        <w:jc w:val="both"/>
      </w:pPr>
      <w:r>
        <w:rPr>
          <w:sz w:val="24"/>
        </w:rPr>
        <w:t xml:space="preserve">Сзпнаст - размер возмещения затрат на оплату наставничества наставнику, равный половине величины минимального размера оплаты труда, установленного Федеральным </w:t>
      </w:r>
      <w:hyperlink w:history="0" r:id="rId25" w:tooltip="Федеральный закон от 19.06.2000 N 82-ФЗ (ред. от 29.10.2024) &quot;О минимальном размере оплаты труда&quot; {КонсультантПлюс}">
        <w:r>
          <w:rPr>
            <w:sz w:val="24"/>
            <w:color w:val="0000ff"/>
          </w:rPr>
          <w:t xml:space="preserve">законом</w:t>
        </w:r>
      </w:hyperlink>
      <w:r>
        <w:rPr>
          <w:sz w:val="24"/>
        </w:rPr>
        <w:t xml:space="preserve"> от 19 июня 2000 года N 82-ФЗ "О минимальном размере оплаты труда", увеличенного на сумму страховых взносов в государственные внебюджетные фонды, рублей;</w:t>
      </w:r>
    </w:p>
    <w:p>
      <w:pPr>
        <w:pStyle w:val="0"/>
        <w:spacing w:before="240" w:line-rule="auto"/>
        <w:ind w:firstLine="540"/>
        <w:jc w:val="both"/>
      </w:pPr>
      <w:r>
        <w:rPr>
          <w:sz w:val="24"/>
        </w:rPr>
        <w:t xml:space="preserve">Рад - период адаптации инвалидов молодого возраста (от 18 до 44 лет) на рабочем месте силами наставника, не превышающий 2 месяца.</w:t>
      </w:r>
    </w:p>
    <w:p>
      <w:pPr>
        <w:pStyle w:val="0"/>
        <w:spacing w:before="240" w:line-rule="auto"/>
        <w:ind w:firstLine="540"/>
        <w:jc w:val="both"/>
      </w:pPr>
      <w:r>
        <w:rPr>
          <w:sz w:val="24"/>
        </w:rPr>
        <w:t xml:space="preserve">40. Предоставление Субсидии осуществляется на основании Соглашения, заключенного между Министерством и получателем Субсидии с использованием системы "Электронный бюджет" (при наличии технической возможности) в соответствии с типовой формой, утвержденной Министерством финансов Российской Федерации.</w:t>
      </w:r>
    </w:p>
    <w:p>
      <w:pPr>
        <w:pStyle w:val="0"/>
        <w:spacing w:before="240" w:line-rule="auto"/>
        <w:ind w:firstLine="540"/>
        <w:jc w:val="both"/>
      </w:pPr>
      <w:r>
        <w:rPr>
          <w:sz w:val="24"/>
        </w:rPr>
        <w:t xml:space="preserve">Соглашение подлежит заключению в течение 2 рабочих дней со дня размещения информации о результатах рассмотрения заявок на официальном сайте Министерства.</w:t>
      </w:r>
    </w:p>
    <w:p>
      <w:pPr>
        <w:pStyle w:val="0"/>
        <w:spacing w:before="240" w:line-rule="auto"/>
        <w:ind w:firstLine="540"/>
        <w:jc w:val="both"/>
      </w:pPr>
      <w:r>
        <w:rPr>
          <w:sz w:val="24"/>
        </w:rPr>
        <w:t xml:space="preserve">Получатель Субсидии, не заключивший с Министерством Соглашение в срок, установленный абзацем вторым настоящего пункта, признается уклонившимся от заключения Соглашения.</w:t>
      </w:r>
    </w:p>
    <w:bookmarkStart w:id="193" w:name="P193"/>
    <w:bookmarkEnd w:id="193"/>
    <w:p>
      <w:pPr>
        <w:pStyle w:val="0"/>
        <w:spacing w:before="240" w:line-rule="auto"/>
        <w:ind w:firstLine="540"/>
        <w:jc w:val="both"/>
      </w:pPr>
      <w:r>
        <w:rPr>
          <w:sz w:val="24"/>
        </w:rPr>
        <w:t xml:space="preserve">41. Результатом предоставления Субсидии является:</w:t>
      </w:r>
    </w:p>
    <w:p>
      <w:pPr>
        <w:pStyle w:val="0"/>
        <w:spacing w:before="240" w:line-rule="auto"/>
        <w:ind w:firstLine="540"/>
        <w:jc w:val="both"/>
      </w:pPr>
      <w:r>
        <w:rPr>
          <w:sz w:val="24"/>
        </w:rPr>
        <w:t xml:space="preserve">на цель, указанную в </w:t>
      </w:r>
      <w:hyperlink w:history="0" w:anchor="P56" w:tooltip="а) оплату труда выпускников профессиональных образовательных организаций и образовательных организаций высшего образования, проходящих стажировку, и оплату труда наставничества их наставникам;">
        <w:r>
          <w:rPr>
            <w:sz w:val="24"/>
            <w:color w:val="0000ff"/>
          </w:rPr>
          <w:t xml:space="preserve">подпункте "а" пункта 3</w:t>
        </w:r>
      </w:hyperlink>
      <w:r>
        <w:rPr>
          <w:sz w:val="24"/>
        </w:rPr>
        <w:t xml:space="preserve"> настоящего Порядка, - численность выпускников профессиональных образовательных организаций и образовательных организаций высшего образования, проходящих стажировку, и их наставников;</w:t>
      </w:r>
    </w:p>
    <w:p>
      <w:pPr>
        <w:pStyle w:val="0"/>
        <w:spacing w:before="240" w:line-rule="auto"/>
        <w:ind w:firstLine="540"/>
        <w:jc w:val="both"/>
      </w:pPr>
      <w:r>
        <w:rPr>
          <w:sz w:val="24"/>
        </w:rPr>
        <w:t xml:space="preserve">на цель, указанную в </w:t>
      </w:r>
      <w:hyperlink w:history="0" w:anchor="P57" w:tooltip="б) оплату труда трудоустроенных (в течение определенного периода времени) инвалидов молодого возраста (от 18 до 44 лет) и оплату наставничества их наставникам при адаптации на рабочем месте.">
        <w:r>
          <w:rPr>
            <w:sz w:val="24"/>
            <w:color w:val="0000ff"/>
          </w:rPr>
          <w:t xml:space="preserve">подпункте "б" пункта 3</w:t>
        </w:r>
      </w:hyperlink>
      <w:r>
        <w:rPr>
          <w:sz w:val="24"/>
        </w:rPr>
        <w:t xml:space="preserve"> настоящего Порядка, - численность трудоустроенных инвалидов молодого возраста (от 18 до 44 лет) и их наставников.</w:t>
      </w:r>
    </w:p>
    <w:p>
      <w:pPr>
        <w:pStyle w:val="0"/>
        <w:spacing w:before="240" w:line-rule="auto"/>
        <w:ind w:firstLine="540"/>
        <w:jc w:val="both"/>
      </w:pPr>
      <w:r>
        <w:rPr>
          <w:sz w:val="24"/>
        </w:rPr>
        <w:t xml:space="preserve">Работодатель в течение 10 рабочих дней со дня перечисления Субсидии с использованием системы "Электронный бюджет" предоставляет отчет о достижении значений результатов предоставления Субсидий по форме, установленной Соглашением.</w:t>
      </w:r>
    </w:p>
    <w:p>
      <w:pPr>
        <w:pStyle w:val="0"/>
        <w:spacing w:before="240" w:line-rule="auto"/>
        <w:ind w:firstLine="540"/>
        <w:jc w:val="both"/>
      </w:pPr>
      <w:r>
        <w:rPr>
          <w:sz w:val="24"/>
        </w:rPr>
        <w:t xml:space="preserve">Министерство осуществляет проверку и принятие отчета, указанного в настоящем пункте, в срок, не превышающий 20 рабочих дней со дня представления такого отчета, с использованием системы "Электронный бюджет".</w:t>
      </w:r>
    </w:p>
    <w:p>
      <w:pPr>
        <w:pStyle w:val="0"/>
        <w:spacing w:before="240" w:line-rule="auto"/>
        <w:ind w:firstLine="540"/>
        <w:jc w:val="both"/>
      </w:pPr>
      <w:r>
        <w:rPr>
          <w:sz w:val="24"/>
        </w:rPr>
        <w:t xml:space="preserve">42. Для перечисления Субсидии на расчетный счет Работодателя, открытый в российских кредитных организациях, Министерство в течение 7 рабочих дней со дня заключения Соглашения направляет в Управление Федерального казначейства по Курской области платежный документ, </w:t>
      </w:r>
      <w:hyperlink w:history="0" r:id="rId26" w:tooltip="&quot;Дополнительное Соглашение к Соглашению между Администрацией Курской области, Общественной организацией &quot;Федерация профсоюзных организаций Курской области&quot; и Курским областным Союзом предпринимателей о минимальной заработной плате на территории Курской области на 2008 - 2009 годы от 21 сентября 2007 года&quot; (Заключено 16.12.2008 N 2) {КонсультантПлюс}">
        <w:r>
          <w:rPr>
            <w:sz w:val="24"/>
            <w:color w:val="0000ff"/>
          </w:rPr>
          <w:t xml:space="preserve">Соглашение</w:t>
        </w:r>
      </w:hyperlink>
      <w:r>
        <w:rPr>
          <w:sz w:val="24"/>
        </w:rPr>
        <w:t xml:space="preserve"> и расчет размера Субсидии по </w:t>
      </w:r>
      <w:hyperlink w:history="0" r:id="rId27" w:tooltip="&quot;Форма и состав сведений Оферты 2 (волеизъявления на осуществление замещения еврооблигаций Российской Федерации путем передачи (уступки) держателем всех прав по замещаемым еврооблигациям Российской Федерации Минфину России) в соответствии с пунктом 8 Приложения 1 Приказа Минфина России от 5 сентября 2024 г. N 388 &quot;О замещении в 2024 году государственных ценных бумаг Российской Федерации, номинальная стоимость которых указана в иностранной валюте&quot; (согласовано с Минфином России, Банком России) {КонсультантПлюс}">
        <w:r>
          <w:rPr>
            <w:sz w:val="24"/>
            <w:color w:val="0000ff"/>
          </w:rPr>
          <w:t xml:space="preserve">форме</w:t>
        </w:r>
      </w:hyperlink>
      <w:r>
        <w:rPr>
          <w:sz w:val="24"/>
        </w:rPr>
        <w:t xml:space="preserve"> согласно приложению N 1 или N 2 к настоящему Порядку.</w:t>
      </w:r>
    </w:p>
    <w:p>
      <w:pPr>
        <w:pStyle w:val="0"/>
        <w:spacing w:before="240" w:line-rule="auto"/>
        <w:ind w:firstLine="540"/>
        <w:jc w:val="both"/>
      </w:pPr>
      <w:r>
        <w:rPr>
          <w:sz w:val="24"/>
        </w:rPr>
        <w:t xml:space="preserve">Субсидия перечисляется Работодателю не позднее десятого рабочего дня, следующего за днем принятия Министерством по результатам рассмотрения заявок решения о предоставлении Субсидии.</w:t>
      </w:r>
    </w:p>
    <w:p>
      <w:pPr>
        <w:pStyle w:val="0"/>
        <w:spacing w:before="240" w:line-rule="auto"/>
        <w:ind w:firstLine="540"/>
        <w:jc w:val="both"/>
      </w:pPr>
      <w:r>
        <w:rPr>
          <w:sz w:val="24"/>
        </w:rPr>
        <w:t xml:space="preserve">43. Условием предоставления Субсидии является согласие получателя Субсидии на осуществление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государственного финансового контроля проверки в соответствии со </w:t>
      </w:r>
      <w:hyperlink w:history="0" r:id="rId28"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статьями 268.1</w:t>
        </w:r>
      </w:hyperlink>
      <w:r>
        <w:rPr>
          <w:sz w:val="24"/>
        </w:rPr>
        <w:t xml:space="preserve"> и </w:t>
      </w:r>
      <w:hyperlink w:history="0" r:id="rId29"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44. Дополнительное соглашение к Соглашению (или Соглашение о расторжении Соглашения) заключается Министерством в соответствии с типовыми формами, установленными Министерством финансов Российской Федерации, в случаях:</w:t>
      </w:r>
    </w:p>
    <w:p>
      <w:pPr>
        <w:pStyle w:val="0"/>
        <w:spacing w:before="240" w:line-rule="auto"/>
        <w:ind w:firstLine="540"/>
        <w:jc w:val="both"/>
      </w:pPr>
      <w:r>
        <w:rPr>
          <w:sz w:val="24"/>
        </w:rPr>
        <w:t xml:space="preserve">уменьшения Министерству ранее доведенных лимитов бюджетных обязательств на предоставление Субсидии;</w:t>
      </w:r>
    </w:p>
    <w:p>
      <w:pPr>
        <w:pStyle w:val="0"/>
        <w:spacing w:before="240" w:line-rule="auto"/>
        <w:ind w:firstLine="540"/>
        <w:jc w:val="both"/>
      </w:pPr>
      <w:r>
        <w:rPr>
          <w:sz w:val="24"/>
        </w:rPr>
        <w:t xml:space="preserve">увеличения или уменьшения размера Субсидии;</w:t>
      </w:r>
    </w:p>
    <w:p>
      <w:pPr>
        <w:pStyle w:val="0"/>
        <w:spacing w:before="240" w:line-rule="auto"/>
        <w:ind w:firstLine="540"/>
        <w:jc w:val="both"/>
      </w:pPr>
      <w:r>
        <w:rPr>
          <w:sz w:val="24"/>
        </w:rPr>
        <w:t xml:space="preserve">изменений, не требующих увеличения или уменьшения размера Субсидии.</w:t>
      </w:r>
    </w:p>
    <w:p>
      <w:pPr>
        <w:pStyle w:val="0"/>
        <w:spacing w:before="240" w:line-rule="auto"/>
        <w:ind w:firstLine="540"/>
        <w:jc w:val="both"/>
      </w:pPr>
      <w:r>
        <w:rPr>
          <w:sz w:val="24"/>
        </w:rPr>
        <w:t xml:space="preserve">45. В случае реорганизации получателя Субсидии, являющегося юридическим лицом, в форме слияния, присоединения или преобразования, а также 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30" w:tooltip="&quot;Гражданский кодекс Российской Федерации (часть первая)&quot; от 30.11.1994 N 51-ФЗ (ред. от 08.08.2024, с изм. от 31.10.2024)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31" w:tooltip="Федеральный закон от 11.06.2003 N 74-ФЗ (ред. от 22.06.2024)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или иного лица, являющегося правопреемником.</w:t>
      </w:r>
    </w:p>
    <w:p>
      <w:pPr>
        <w:pStyle w:val="0"/>
        <w:spacing w:before="240" w:line-rule="auto"/>
        <w:ind w:firstLine="540"/>
        <w:jc w:val="both"/>
      </w:pPr>
      <w:r>
        <w:rPr>
          <w:sz w:val="24"/>
        </w:rPr>
        <w:t xml:space="preserve">В случае реорганизации получателя Субсидии, являющегося юридическим лицом, в форме разделения, выделения (за исключением случая, указанного в абзаце третьем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32" w:tooltip="&quot;Гражданский кодекс Российской Федерации (часть первая)&quot; от 30.11.1994 N 51-ФЗ (ред. от 08.08.2024, с изм. от 31.10.2024)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в одностороннем порядке с формированием такового уведомления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w:history="0" r:id="rId33"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статьей 8</w:t>
        </w:r>
      </w:hyperlink>
      <w:r>
        <w:rPr>
          <w:sz w:val="24"/>
        </w:rPr>
        <w:t xml:space="preserve">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pPr>
        <w:pStyle w:val="0"/>
        <w:jc w:val="both"/>
      </w:pPr>
      <w:r>
        <w:rPr>
          <w:sz w:val="24"/>
        </w:rPr>
      </w:r>
    </w:p>
    <w:p>
      <w:pPr>
        <w:pStyle w:val="2"/>
        <w:outlineLvl w:val="1"/>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ответственности за их нарушение</w:t>
      </w:r>
    </w:p>
    <w:p>
      <w:pPr>
        <w:pStyle w:val="0"/>
        <w:jc w:val="both"/>
      </w:pPr>
      <w:r>
        <w:rPr>
          <w:sz w:val="24"/>
        </w:rPr>
      </w:r>
    </w:p>
    <w:p>
      <w:pPr>
        <w:pStyle w:val="0"/>
        <w:ind w:firstLine="540"/>
        <w:jc w:val="both"/>
      </w:pPr>
      <w:r>
        <w:rPr>
          <w:sz w:val="24"/>
        </w:rPr>
        <w:t xml:space="preserve">46. Субсидия носит целевой характер и не может быть использована на другие цели. Получатели Субсидии несут ответственность за соблюдение условий, целей и порядка предоставления Субсидий.</w:t>
      </w:r>
    </w:p>
    <w:p>
      <w:pPr>
        <w:pStyle w:val="0"/>
        <w:spacing w:before="240" w:line-rule="auto"/>
        <w:ind w:firstLine="540"/>
        <w:jc w:val="both"/>
      </w:pPr>
      <w:r>
        <w:rPr>
          <w:sz w:val="24"/>
        </w:rPr>
        <w:t xml:space="preserve">47.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органы государственного финансового контроля осуществляют проверку в соответствии со </w:t>
      </w:r>
      <w:hyperlink w:history="0" r:id="rId34"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статьями 268.1</w:t>
        </w:r>
      </w:hyperlink>
      <w:r>
        <w:rPr>
          <w:sz w:val="24"/>
        </w:rPr>
        <w:t xml:space="preserve"> и </w:t>
      </w:r>
      <w:hyperlink w:history="0" r:id="rId35"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48. В случае выявления Министерством нарушения Работодателем условий Соглашения и (или) выявления нарушения в части достижения результатов предоставления Субсидии соответствующий объем Субсидии подлежит возврату в бюджет Курской области.</w:t>
      </w:r>
    </w:p>
    <w:p>
      <w:pPr>
        <w:pStyle w:val="0"/>
        <w:spacing w:before="240" w:line-rule="auto"/>
        <w:ind w:firstLine="540"/>
        <w:jc w:val="both"/>
      </w:pPr>
      <w:r>
        <w:rPr>
          <w:sz w:val="24"/>
        </w:rPr>
        <w:t xml:space="preserve">Возврату в доход бюджета Курской области подлежит Субсидия в случаях:</w:t>
      </w:r>
    </w:p>
    <w:p>
      <w:pPr>
        <w:pStyle w:val="0"/>
        <w:spacing w:before="240" w:line-rule="auto"/>
        <w:ind w:firstLine="540"/>
        <w:jc w:val="both"/>
      </w:pPr>
      <w:r>
        <w:rPr>
          <w:sz w:val="24"/>
        </w:rPr>
        <w:t xml:space="preserve">а) неисполнения работодателем условий, предусмотренных </w:t>
      </w:r>
      <w:hyperlink w:history="0" w:anchor="P96" w:tooltip="15. На даты рассмотрения заявки и заключения Соглашения участники отбора должны соответствовать следующим требованиям:">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б) установления факта предоставления недостоверной информации в целях получения Субсидии.</w:t>
      </w:r>
    </w:p>
    <w:p>
      <w:pPr>
        <w:pStyle w:val="0"/>
        <w:spacing w:before="240" w:line-rule="auto"/>
        <w:ind w:firstLine="540"/>
        <w:jc w:val="both"/>
      </w:pPr>
      <w:r>
        <w:rPr>
          <w:sz w:val="24"/>
        </w:rPr>
        <w:t xml:space="preserve">В случае выявления при осуществлении контроля за использованием средств Субсидии обстоятельств, влекущих административную или уголовную ответственность в соответствии с действующим законодательством Российской Федерации и законодательством Курской области, Министерство направляет соответствующие материалы, содержащие признаки правонарушений и (или) преступлений, в правоохранительные органы.</w:t>
      </w:r>
    </w:p>
    <w:p>
      <w:pPr>
        <w:pStyle w:val="0"/>
        <w:spacing w:before="240" w:line-rule="auto"/>
        <w:ind w:firstLine="540"/>
        <w:jc w:val="both"/>
      </w:pPr>
      <w:r>
        <w:rPr>
          <w:sz w:val="24"/>
        </w:rPr>
        <w:t xml:space="preserve">49. Министерство в течение 10 рабочих дней после подписания акта проверки или получения акта проверки либо иного документа, отражающего результаты проверки, от органа государственного финансового контроля Курской области направляет Работодателю требование о возврате субсидии в бюджет Курской области с указанием реквизитов счета для перечисления средств.</w:t>
      </w:r>
    </w:p>
    <w:p>
      <w:pPr>
        <w:pStyle w:val="0"/>
        <w:spacing w:before="240" w:line-rule="auto"/>
        <w:ind w:firstLine="540"/>
        <w:jc w:val="both"/>
      </w:pPr>
      <w:r>
        <w:rPr>
          <w:sz w:val="24"/>
        </w:rPr>
        <w:t xml:space="preserve">Работодатель производит возврат Субсидии в течение 30 календарных дней со дня получения от Министерства требования о возврате Субсидии.</w:t>
      </w:r>
    </w:p>
    <w:p>
      <w:pPr>
        <w:pStyle w:val="0"/>
        <w:spacing w:before="240" w:line-rule="auto"/>
        <w:ind w:firstLine="540"/>
        <w:jc w:val="both"/>
      </w:pPr>
      <w:r>
        <w:rPr>
          <w:sz w:val="24"/>
        </w:rPr>
        <w:t xml:space="preserve">При нарушении Работодателем срока возврата Субсидии Министерство принимает меры по взысканию указанных средств в доход бюджета Курской области в порядке, установленном законодательством Российской Федерации.</w:t>
      </w:r>
    </w:p>
    <w:p>
      <w:pPr>
        <w:pStyle w:val="0"/>
        <w:spacing w:before="240" w:line-rule="auto"/>
        <w:ind w:firstLine="540"/>
        <w:jc w:val="both"/>
      </w:pPr>
      <w:r>
        <w:rPr>
          <w:sz w:val="24"/>
        </w:rPr>
        <w:t xml:space="preserve">50. Ответственность за достоверность предоставленных в Министерство документов и информации, которые предусмотрены настоящим Порядком, возлагается на Работодателя.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субсидий</w:t>
      </w:r>
    </w:p>
    <w:p>
      <w:pPr>
        <w:pStyle w:val="0"/>
        <w:jc w:val="right"/>
      </w:pPr>
      <w:r>
        <w:rPr>
          <w:sz w:val="24"/>
        </w:rPr>
        <w:t xml:space="preserve">предприятиям и организациям различных</w:t>
      </w:r>
    </w:p>
    <w:p>
      <w:pPr>
        <w:pStyle w:val="0"/>
        <w:jc w:val="right"/>
      </w:pPr>
      <w:r>
        <w:rPr>
          <w:sz w:val="24"/>
        </w:rPr>
        <w:t xml:space="preserve">форм собственности (за исключением</w:t>
      </w:r>
    </w:p>
    <w:p>
      <w:pPr>
        <w:pStyle w:val="0"/>
        <w:jc w:val="right"/>
      </w:pPr>
      <w:r>
        <w:rPr>
          <w:sz w:val="24"/>
        </w:rPr>
        <w:t xml:space="preserve">государственных (муниципальных) учреждений),</w:t>
      </w:r>
    </w:p>
    <w:p>
      <w:pPr>
        <w:pStyle w:val="0"/>
        <w:jc w:val="right"/>
      </w:pPr>
      <w:r>
        <w:rPr>
          <w:sz w:val="24"/>
        </w:rPr>
        <w:t xml:space="preserve">индивидуальным предпринимателям, участвующим</w:t>
      </w:r>
    </w:p>
    <w:p>
      <w:pPr>
        <w:pStyle w:val="0"/>
        <w:jc w:val="right"/>
      </w:pPr>
      <w:r>
        <w:rPr>
          <w:sz w:val="24"/>
        </w:rPr>
        <w:t xml:space="preserve">в реализации мероприятий в области</w:t>
      </w:r>
    </w:p>
    <w:p>
      <w:pPr>
        <w:pStyle w:val="0"/>
        <w:jc w:val="right"/>
      </w:pPr>
      <w:r>
        <w:rPr>
          <w:sz w:val="24"/>
        </w:rPr>
        <w:t xml:space="preserve">содействия занятости населения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Расчет затрат</w:t>
      </w:r>
    </w:p>
    <w:p>
      <w:pPr>
        <w:pStyle w:val="1"/>
        <w:jc w:val="both"/>
      </w:pPr>
      <w:r>
        <w:rPr>
          <w:sz w:val="20"/>
        </w:rPr>
        <w:t xml:space="preserve">     на предоставление субсидии на возмещение фактически произведенных</w:t>
      </w:r>
    </w:p>
    <w:p>
      <w:pPr>
        <w:pStyle w:val="1"/>
        <w:jc w:val="both"/>
      </w:pPr>
      <w:r>
        <w:rPr>
          <w:sz w:val="20"/>
        </w:rPr>
        <w:t xml:space="preserve">    затрат на оплату труда выпускников профессиональных образовательных</w:t>
      </w:r>
    </w:p>
    <w:p>
      <w:pPr>
        <w:pStyle w:val="1"/>
        <w:jc w:val="both"/>
      </w:pPr>
      <w:r>
        <w:rPr>
          <w:sz w:val="20"/>
        </w:rPr>
        <w:t xml:space="preserve">      организаций и образовательных организаций высшего образования,</w:t>
      </w:r>
    </w:p>
    <w:p>
      <w:pPr>
        <w:pStyle w:val="1"/>
        <w:jc w:val="both"/>
      </w:pPr>
      <w:r>
        <w:rPr>
          <w:sz w:val="20"/>
        </w:rPr>
        <w:t xml:space="preserve">    проходящих стажировку, и оплату труда наставничества их наставникам</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r>
    </w:p>
    <w:p>
      <w:pPr>
        <w:pStyle w:val="1"/>
        <w:jc w:val="both"/>
      </w:pPr>
      <w:r>
        <w:rPr>
          <w:sz w:val="20"/>
        </w:rPr>
        <w:t xml:space="preserve">Юридический адрес: _________________________.</w:t>
      </w:r>
    </w:p>
    <w:p>
      <w:pPr>
        <w:pStyle w:val="1"/>
        <w:jc w:val="both"/>
      </w:pPr>
      <w:r>
        <w:rPr>
          <w:sz w:val="20"/>
        </w:rPr>
        <w:t xml:space="preserve">Фактический адрес: _________________________.</w:t>
      </w:r>
    </w:p>
    <w:p>
      <w:pPr>
        <w:pStyle w:val="1"/>
        <w:jc w:val="both"/>
      </w:pPr>
      <w:r>
        <w:rPr>
          <w:sz w:val="20"/>
        </w:rPr>
        <w:t xml:space="preserve">Контактный телефон: ________________________.</w:t>
      </w:r>
    </w:p>
    <w:p>
      <w:pPr>
        <w:pStyle w:val="1"/>
        <w:jc w:val="both"/>
      </w:pPr>
      <w:r>
        <w:rPr>
          <w:sz w:val="20"/>
        </w:rPr>
        <w:t xml:space="preserve">ИНН: 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1719"/>
        <w:gridCol w:w="1862"/>
        <w:gridCol w:w="2721"/>
      </w:tblGrid>
      <w:tr>
        <w:tc>
          <w:tcPr>
            <w:tcW w:w="2778" w:type="dxa"/>
            <w:vMerge w:val="restart"/>
          </w:tcPr>
          <w:p>
            <w:pPr>
              <w:pStyle w:val="0"/>
              <w:jc w:val="center"/>
            </w:pPr>
            <w:r>
              <w:rPr>
                <w:sz w:val="24"/>
              </w:rPr>
              <w:t xml:space="preserve">Размер затрат</w:t>
            </w:r>
          </w:p>
          <w:p>
            <w:pPr>
              <w:pStyle w:val="0"/>
              <w:jc w:val="center"/>
            </w:pPr>
            <w:r>
              <w:rPr>
                <w:sz w:val="24"/>
              </w:rPr>
              <w:t xml:space="preserve">(с учетом страховых взносов в государственные внебюджетные фонды) (рублей)</w:t>
            </w:r>
          </w:p>
        </w:tc>
        <w:tc>
          <w:tcPr>
            <w:gridSpan w:val="2"/>
            <w:tcW w:w="3581" w:type="dxa"/>
          </w:tcPr>
          <w:p>
            <w:pPr>
              <w:pStyle w:val="0"/>
              <w:jc w:val="center"/>
            </w:pPr>
            <w:r>
              <w:rPr>
                <w:sz w:val="24"/>
              </w:rPr>
              <w:t xml:space="preserve">Количество стажеров и их наставников</w:t>
            </w:r>
          </w:p>
        </w:tc>
        <w:tc>
          <w:tcPr>
            <w:tcW w:w="2721" w:type="dxa"/>
            <w:vMerge w:val="restart"/>
          </w:tcPr>
          <w:p>
            <w:pPr>
              <w:pStyle w:val="0"/>
            </w:pPr>
            <w:r>
              <w:rPr>
                <w:sz w:val="24"/>
              </w:rPr>
              <w:t xml:space="preserve">Общая сумма затрат</w:t>
            </w:r>
          </w:p>
          <w:p>
            <w:pPr>
              <w:pStyle w:val="0"/>
            </w:pPr>
            <w:r>
              <w:rPr>
                <w:sz w:val="24"/>
              </w:rPr>
              <w:t xml:space="preserve">(с учетом страховых взносов в государственные внебюджетные фонды)</w:t>
            </w:r>
          </w:p>
          <w:p>
            <w:pPr>
              <w:pStyle w:val="0"/>
            </w:pPr>
            <w:r>
              <w:rPr>
                <w:sz w:val="24"/>
              </w:rPr>
              <w:t xml:space="preserve">(рублей)</w:t>
            </w:r>
          </w:p>
        </w:tc>
      </w:tr>
      <w:tr>
        <w:tc>
          <w:tcPr>
            <w:vMerge w:val="continue"/>
          </w:tcPr>
          <w:p/>
        </w:tc>
        <w:tc>
          <w:tcPr>
            <w:tcW w:w="1719" w:type="dxa"/>
          </w:tcPr>
          <w:p>
            <w:pPr>
              <w:pStyle w:val="0"/>
            </w:pPr>
            <w:r>
              <w:rPr>
                <w:sz w:val="24"/>
              </w:rPr>
              <w:t xml:space="preserve">Всего</w:t>
            </w:r>
          </w:p>
        </w:tc>
        <w:tc>
          <w:tcPr>
            <w:tcW w:w="1862" w:type="dxa"/>
          </w:tcPr>
          <w:p>
            <w:pPr>
              <w:pStyle w:val="0"/>
            </w:pPr>
            <w:r>
              <w:rPr>
                <w:sz w:val="24"/>
              </w:rPr>
              <w:t xml:space="preserve">В том числе за отчетный месяц</w:t>
            </w:r>
          </w:p>
        </w:tc>
        <w:tc>
          <w:tcPr>
            <w:vMerge w:val="continue"/>
          </w:tcPr>
          <w:p/>
        </w:tc>
      </w:tr>
      <w:tr>
        <w:tc>
          <w:tcPr>
            <w:tcW w:w="2778" w:type="dxa"/>
          </w:tcPr>
          <w:p>
            <w:pPr>
              <w:pStyle w:val="0"/>
            </w:pPr>
            <w:r>
              <w:rPr>
                <w:sz w:val="24"/>
              </w:rPr>
            </w:r>
          </w:p>
        </w:tc>
        <w:tc>
          <w:tcPr>
            <w:tcW w:w="1719" w:type="dxa"/>
          </w:tcPr>
          <w:p>
            <w:pPr>
              <w:pStyle w:val="0"/>
            </w:pPr>
            <w:r>
              <w:rPr>
                <w:sz w:val="24"/>
              </w:rPr>
            </w:r>
          </w:p>
        </w:tc>
        <w:tc>
          <w:tcPr>
            <w:tcW w:w="1862" w:type="dxa"/>
          </w:tcPr>
          <w:p>
            <w:pPr>
              <w:pStyle w:val="0"/>
            </w:pPr>
            <w:r>
              <w:rPr>
                <w:sz w:val="24"/>
              </w:rPr>
            </w:r>
          </w:p>
        </w:tc>
        <w:tc>
          <w:tcPr>
            <w:tcW w:w="2721" w:type="dxa"/>
          </w:tcPr>
          <w:p>
            <w:pPr>
              <w:pStyle w:val="0"/>
            </w:pPr>
            <w:r>
              <w:rPr>
                <w:sz w:val="24"/>
              </w:rPr>
            </w:r>
          </w:p>
        </w:tc>
      </w:tr>
    </w:tbl>
    <w:p>
      <w:pPr>
        <w:pStyle w:val="0"/>
        <w:jc w:val="both"/>
      </w:pPr>
      <w:r>
        <w:rPr>
          <w:sz w:val="24"/>
        </w:rPr>
      </w:r>
    </w:p>
    <w:p>
      <w:pPr>
        <w:pStyle w:val="1"/>
        <w:jc w:val="both"/>
      </w:pPr>
      <w:r>
        <w:rPr>
          <w:sz w:val="20"/>
        </w:rPr>
        <w:t xml:space="preserve">Руководитель      ____________      _______________      _____________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Главный бухгалтер (при наличии)    __________   __________   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субсидий</w:t>
      </w:r>
    </w:p>
    <w:p>
      <w:pPr>
        <w:pStyle w:val="0"/>
        <w:jc w:val="right"/>
      </w:pPr>
      <w:r>
        <w:rPr>
          <w:sz w:val="24"/>
        </w:rPr>
        <w:t xml:space="preserve">предприятиям и организациям различных</w:t>
      </w:r>
    </w:p>
    <w:p>
      <w:pPr>
        <w:pStyle w:val="0"/>
        <w:jc w:val="right"/>
      </w:pPr>
      <w:r>
        <w:rPr>
          <w:sz w:val="24"/>
        </w:rPr>
        <w:t xml:space="preserve">форм собственности (за исключением</w:t>
      </w:r>
    </w:p>
    <w:p>
      <w:pPr>
        <w:pStyle w:val="0"/>
        <w:jc w:val="right"/>
      </w:pPr>
      <w:r>
        <w:rPr>
          <w:sz w:val="24"/>
        </w:rPr>
        <w:t xml:space="preserve">государственных (муниципальных) учреждений),</w:t>
      </w:r>
    </w:p>
    <w:p>
      <w:pPr>
        <w:pStyle w:val="0"/>
        <w:jc w:val="right"/>
      </w:pPr>
      <w:r>
        <w:rPr>
          <w:sz w:val="24"/>
        </w:rPr>
        <w:t xml:space="preserve">индивидуальным предпринимателям, участвующим</w:t>
      </w:r>
    </w:p>
    <w:p>
      <w:pPr>
        <w:pStyle w:val="0"/>
        <w:jc w:val="right"/>
      </w:pPr>
      <w:r>
        <w:rPr>
          <w:sz w:val="24"/>
        </w:rPr>
        <w:t xml:space="preserve">в реализации мероприятий в области</w:t>
      </w:r>
    </w:p>
    <w:p>
      <w:pPr>
        <w:pStyle w:val="0"/>
        <w:jc w:val="right"/>
      </w:pPr>
      <w:r>
        <w:rPr>
          <w:sz w:val="24"/>
        </w:rPr>
        <w:t xml:space="preserve">содействия занятости населения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Расчет затрат</w:t>
      </w:r>
    </w:p>
    <w:p>
      <w:pPr>
        <w:pStyle w:val="1"/>
        <w:jc w:val="both"/>
      </w:pPr>
      <w:r>
        <w:rPr>
          <w:sz w:val="20"/>
        </w:rPr>
        <w:t xml:space="preserve">     на предоставление субсидии на возмещение фактически произведенных</w:t>
      </w:r>
    </w:p>
    <w:p>
      <w:pPr>
        <w:pStyle w:val="1"/>
        <w:jc w:val="both"/>
      </w:pPr>
      <w:r>
        <w:rPr>
          <w:sz w:val="20"/>
        </w:rPr>
        <w:t xml:space="preserve">      затрат на оплату труда трудоустроенных (в течение определенного</w:t>
      </w:r>
    </w:p>
    <w:p>
      <w:pPr>
        <w:pStyle w:val="1"/>
        <w:jc w:val="both"/>
      </w:pPr>
      <w:r>
        <w:rPr>
          <w:sz w:val="20"/>
        </w:rPr>
        <w:t xml:space="preserve">  периода времени) инвалидов молодого возраста (от 18 до 44 лет) и оплату</w:t>
      </w:r>
    </w:p>
    <w:p>
      <w:pPr>
        <w:pStyle w:val="1"/>
        <w:jc w:val="both"/>
      </w:pPr>
      <w:r>
        <w:rPr>
          <w:sz w:val="20"/>
        </w:rPr>
        <w:t xml:space="preserve">       наставничества их наставникам при адаптации на рабочем месте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r>
    </w:p>
    <w:p>
      <w:pPr>
        <w:pStyle w:val="1"/>
        <w:jc w:val="both"/>
      </w:pPr>
      <w:r>
        <w:rPr>
          <w:sz w:val="20"/>
        </w:rPr>
        <w:t xml:space="preserve">Юридический адрес: ___________________________.</w:t>
      </w:r>
    </w:p>
    <w:p>
      <w:pPr>
        <w:pStyle w:val="1"/>
        <w:jc w:val="both"/>
      </w:pPr>
      <w:r>
        <w:rPr>
          <w:sz w:val="20"/>
        </w:rPr>
        <w:t xml:space="preserve">Фактический адрес: ___________________________.</w:t>
      </w:r>
    </w:p>
    <w:p>
      <w:pPr>
        <w:pStyle w:val="1"/>
        <w:jc w:val="both"/>
      </w:pPr>
      <w:r>
        <w:rPr>
          <w:sz w:val="20"/>
        </w:rPr>
        <w:t xml:space="preserve">Контактный телефон: ____________________________.</w:t>
      </w:r>
    </w:p>
    <w:p>
      <w:pPr>
        <w:pStyle w:val="1"/>
        <w:jc w:val="both"/>
      </w:pPr>
      <w:r>
        <w:rPr>
          <w:sz w:val="20"/>
        </w:rPr>
        <w:t xml:space="preserve">ИНН: 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1719"/>
        <w:gridCol w:w="1862"/>
        <w:gridCol w:w="2721"/>
      </w:tblGrid>
      <w:tr>
        <w:tc>
          <w:tcPr>
            <w:tcW w:w="2778" w:type="dxa"/>
            <w:vMerge w:val="restart"/>
          </w:tcPr>
          <w:p>
            <w:pPr>
              <w:pStyle w:val="0"/>
              <w:jc w:val="center"/>
            </w:pPr>
            <w:r>
              <w:rPr>
                <w:sz w:val="24"/>
              </w:rPr>
              <w:t xml:space="preserve">Размер затрат</w:t>
            </w:r>
          </w:p>
          <w:p>
            <w:pPr>
              <w:pStyle w:val="0"/>
              <w:jc w:val="center"/>
            </w:pPr>
            <w:r>
              <w:rPr>
                <w:sz w:val="24"/>
              </w:rPr>
              <w:t xml:space="preserve">(с учетом страховых взносов в государственные внебюджетные фонды) (рублей)</w:t>
            </w:r>
          </w:p>
        </w:tc>
        <w:tc>
          <w:tcPr>
            <w:gridSpan w:val="2"/>
            <w:tcW w:w="3581" w:type="dxa"/>
          </w:tcPr>
          <w:p>
            <w:pPr>
              <w:pStyle w:val="0"/>
              <w:jc w:val="center"/>
            </w:pPr>
            <w:r>
              <w:rPr>
                <w:sz w:val="24"/>
              </w:rPr>
              <w:t xml:space="preserve">Количество инвалидов молодого возраста (от 18 до 44 лет) и их наставников</w:t>
            </w:r>
          </w:p>
        </w:tc>
        <w:tc>
          <w:tcPr>
            <w:tcW w:w="2721" w:type="dxa"/>
            <w:vMerge w:val="restart"/>
          </w:tcPr>
          <w:p>
            <w:pPr>
              <w:pStyle w:val="0"/>
            </w:pPr>
            <w:r>
              <w:rPr>
                <w:sz w:val="24"/>
              </w:rPr>
              <w:t xml:space="preserve">Общая сумма затрат</w:t>
            </w:r>
          </w:p>
          <w:p>
            <w:pPr>
              <w:pStyle w:val="0"/>
            </w:pPr>
            <w:r>
              <w:rPr>
                <w:sz w:val="24"/>
              </w:rPr>
              <w:t xml:space="preserve">(с учетом страховых взносов в государственные внебюджетные фонды)</w:t>
            </w:r>
          </w:p>
          <w:p>
            <w:pPr>
              <w:pStyle w:val="0"/>
            </w:pPr>
            <w:r>
              <w:rPr>
                <w:sz w:val="24"/>
              </w:rPr>
              <w:t xml:space="preserve">(рублей)</w:t>
            </w:r>
          </w:p>
        </w:tc>
      </w:tr>
      <w:tr>
        <w:tc>
          <w:tcPr>
            <w:vMerge w:val="continue"/>
          </w:tcPr>
          <w:p/>
        </w:tc>
        <w:tc>
          <w:tcPr>
            <w:tcW w:w="1719" w:type="dxa"/>
          </w:tcPr>
          <w:p>
            <w:pPr>
              <w:pStyle w:val="0"/>
            </w:pPr>
            <w:r>
              <w:rPr>
                <w:sz w:val="24"/>
              </w:rPr>
              <w:t xml:space="preserve">Всего</w:t>
            </w:r>
          </w:p>
        </w:tc>
        <w:tc>
          <w:tcPr>
            <w:tcW w:w="1862" w:type="dxa"/>
          </w:tcPr>
          <w:p>
            <w:pPr>
              <w:pStyle w:val="0"/>
            </w:pPr>
            <w:r>
              <w:rPr>
                <w:sz w:val="24"/>
              </w:rPr>
              <w:t xml:space="preserve">В том числе за отчетный месяц</w:t>
            </w:r>
          </w:p>
        </w:tc>
        <w:tc>
          <w:tcPr>
            <w:vMerge w:val="continue"/>
          </w:tcPr>
          <w:p/>
        </w:tc>
      </w:tr>
      <w:tr>
        <w:tc>
          <w:tcPr>
            <w:tcW w:w="2778" w:type="dxa"/>
          </w:tcPr>
          <w:p>
            <w:pPr>
              <w:pStyle w:val="0"/>
            </w:pPr>
            <w:r>
              <w:rPr>
                <w:sz w:val="24"/>
              </w:rPr>
            </w:r>
          </w:p>
        </w:tc>
        <w:tc>
          <w:tcPr>
            <w:tcW w:w="1719" w:type="dxa"/>
          </w:tcPr>
          <w:p>
            <w:pPr>
              <w:pStyle w:val="0"/>
            </w:pPr>
            <w:r>
              <w:rPr>
                <w:sz w:val="24"/>
              </w:rPr>
            </w:r>
          </w:p>
        </w:tc>
        <w:tc>
          <w:tcPr>
            <w:tcW w:w="1862" w:type="dxa"/>
          </w:tcPr>
          <w:p>
            <w:pPr>
              <w:pStyle w:val="0"/>
            </w:pPr>
            <w:r>
              <w:rPr>
                <w:sz w:val="24"/>
              </w:rPr>
            </w:r>
          </w:p>
        </w:tc>
        <w:tc>
          <w:tcPr>
            <w:tcW w:w="2721" w:type="dxa"/>
          </w:tcPr>
          <w:p>
            <w:pPr>
              <w:pStyle w:val="0"/>
            </w:pPr>
            <w:r>
              <w:rPr>
                <w:sz w:val="24"/>
              </w:rPr>
            </w:r>
          </w:p>
        </w:tc>
      </w:tr>
    </w:tbl>
    <w:p>
      <w:pPr>
        <w:pStyle w:val="0"/>
        <w:jc w:val="both"/>
      </w:pPr>
      <w:r>
        <w:rPr>
          <w:sz w:val="24"/>
        </w:rPr>
      </w:r>
    </w:p>
    <w:p>
      <w:pPr>
        <w:pStyle w:val="1"/>
        <w:jc w:val="both"/>
      </w:pPr>
      <w:r>
        <w:rPr>
          <w:sz w:val="20"/>
        </w:rPr>
        <w:t xml:space="preserve">Руководитель      ____________      _______________      _____________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Главный бухгалтер (при наличии)    __________   __________   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Курской области</w:t>
      </w:r>
    </w:p>
    <w:p>
      <w:pPr>
        <w:pStyle w:val="0"/>
        <w:jc w:val="right"/>
      </w:pPr>
      <w:r>
        <w:rPr>
          <w:sz w:val="24"/>
        </w:rPr>
        <w:t xml:space="preserve">от 17 июня 2022 г. N 662-па</w:t>
      </w:r>
    </w:p>
    <w:p>
      <w:pPr>
        <w:pStyle w:val="0"/>
        <w:jc w:val="both"/>
      </w:pPr>
      <w:r>
        <w:rPr>
          <w:sz w:val="24"/>
        </w:rPr>
      </w:r>
    </w:p>
    <w:bookmarkStart w:id="334" w:name="P334"/>
    <w:bookmarkEnd w:id="334"/>
    <w:p>
      <w:pPr>
        <w:pStyle w:val="2"/>
        <w:jc w:val="center"/>
      </w:pPr>
      <w:r>
        <w:rPr>
          <w:sz w:val="24"/>
        </w:rPr>
        <w:t xml:space="preserve">ПЕРЕЧЕНЬ</w:t>
      </w:r>
    </w:p>
    <w:p>
      <w:pPr>
        <w:pStyle w:val="2"/>
        <w:jc w:val="center"/>
      </w:pPr>
      <w:r>
        <w:rPr>
          <w:sz w:val="24"/>
        </w:rPr>
        <w:t xml:space="preserve">ПОСТАНОВЛЕНИЙ АДМИНИСТРАЦИИ КУРСКОЙ ОБЛАСТИ,</w:t>
      </w:r>
    </w:p>
    <w:p>
      <w:pPr>
        <w:pStyle w:val="2"/>
        <w:jc w:val="center"/>
      </w:pPr>
      <w:r>
        <w:rPr>
          <w:sz w:val="24"/>
        </w:rPr>
        <w:t xml:space="preserve">ПРИЗНАННЫХ УТРАТИВШИМИ СИЛУ</w:t>
      </w:r>
    </w:p>
    <w:p>
      <w:pPr>
        <w:pStyle w:val="0"/>
        <w:jc w:val="both"/>
      </w:pPr>
      <w:r>
        <w:rPr>
          <w:sz w:val="24"/>
        </w:rPr>
      </w:r>
    </w:p>
    <w:p>
      <w:pPr>
        <w:pStyle w:val="0"/>
        <w:ind w:firstLine="540"/>
        <w:jc w:val="both"/>
      </w:pPr>
      <w:r>
        <w:rPr>
          <w:sz w:val="24"/>
        </w:rPr>
        <w:t xml:space="preserve">1. </w:t>
      </w:r>
      <w:hyperlink w:history="0" r:id="rId36" w:tooltip="Постановление Администрации Курской области от 21.05.2018 N 426-па (ред. от 25.11.2021)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участвующим в реализации мероприятий в области содействия занятости населения".</w:t>
      </w:r>
    </w:p>
    <w:p>
      <w:pPr>
        <w:pStyle w:val="0"/>
        <w:spacing w:before="240" w:line-rule="auto"/>
        <w:ind w:firstLine="540"/>
        <w:jc w:val="both"/>
      </w:pPr>
      <w:r>
        <w:rPr>
          <w:sz w:val="24"/>
        </w:rPr>
        <w:t xml:space="preserve">2. </w:t>
      </w:r>
      <w:hyperlink w:history="0" r:id="rId37" w:tooltip="Постановление Администрации Курской области от 19.06.2018 N 495-па (ред. от 26.07.2018) &quot;О внесении изменений в постановление Администрации Курской области от 21.05.2018 N 426-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участвующим в реализации мероприятий в области содействия занятости населения&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19.06.2018 N 495-па "О внесении изменений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участвующим в реализации мероприятий в области содействия занятости населения".</w:t>
      </w:r>
    </w:p>
    <w:p>
      <w:pPr>
        <w:pStyle w:val="0"/>
        <w:spacing w:before="240" w:line-rule="auto"/>
        <w:ind w:firstLine="540"/>
        <w:jc w:val="both"/>
      </w:pPr>
      <w:r>
        <w:rPr>
          <w:sz w:val="24"/>
        </w:rPr>
        <w:t xml:space="preserve">3. </w:t>
      </w:r>
      <w:hyperlink w:history="0" r:id="rId38" w:tooltip="Постановление Администрации Курской области от 26.07.2018 N 597-па &quot;О внесении изменений в постановление Администрации Курской области от 19.06.2018 N 495-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26.07.2018 N 597-па "О внесении изменений в постановление Администрации Курской области от 19.06.2018 N 495-па".</w:t>
      </w:r>
    </w:p>
    <w:p>
      <w:pPr>
        <w:pStyle w:val="0"/>
        <w:spacing w:before="240" w:line-rule="auto"/>
        <w:ind w:firstLine="540"/>
        <w:jc w:val="both"/>
      </w:pPr>
      <w:r>
        <w:rPr>
          <w:sz w:val="24"/>
        </w:rPr>
        <w:t xml:space="preserve">4. </w:t>
      </w:r>
      <w:hyperlink w:history="0" r:id="rId39" w:tooltip="Постановление Администрации Курской области от 31.12.2019 N 1383-па &quot;О внесении изменений в постановление Администрации Курской области от 21.05.2018 N 426-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31.12.2019 N 1383-па "О внесении изменений в постановление Администрации Курской области от 21.05.2018 N 426-па".</w:t>
      </w:r>
    </w:p>
    <w:p>
      <w:pPr>
        <w:pStyle w:val="0"/>
        <w:spacing w:before="240" w:line-rule="auto"/>
        <w:ind w:firstLine="540"/>
        <w:jc w:val="both"/>
      </w:pPr>
      <w:r>
        <w:rPr>
          <w:sz w:val="24"/>
        </w:rPr>
        <w:t xml:space="preserve">5. </w:t>
      </w:r>
      <w:hyperlink w:history="0" r:id="rId40" w:tooltip="Постановление Администрации Курской области от 10.02.2020 N 112-па &quot;О внесении изменения в постановление Администрации Курской области от 21.05.2018 N 426-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10.02.2020 N 112-па "О внесении изменения в постановление Администрации Курской области от 21.05.2018 N 426-па".</w:t>
      </w:r>
    </w:p>
    <w:p>
      <w:pPr>
        <w:pStyle w:val="0"/>
        <w:spacing w:before="240" w:line-rule="auto"/>
        <w:ind w:firstLine="540"/>
        <w:jc w:val="both"/>
      </w:pPr>
      <w:r>
        <w:rPr>
          <w:sz w:val="24"/>
        </w:rPr>
        <w:t xml:space="preserve">6. </w:t>
      </w:r>
      <w:hyperlink w:history="0" r:id="rId41" w:tooltip="Постановление Администрации Курской области от 12.03.2021 N 208-па &quot;О внесении изменений в постановление Администрации Курской области от 21.05.2018 N 426-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12.03.2021 N 208-па "О внесении изменений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pPr>
        <w:pStyle w:val="0"/>
        <w:spacing w:before="240" w:line-rule="auto"/>
        <w:ind w:firstLine="540"/>
        <w:jc w:val="both"/>
      </w:pPr>
      <w:r>
        <w:rPr>
          <w:sz w:val="24"/>
        </w:rPr>
        <w:t xml:space="preserve">7. </w:t>
      </w:r>
      <w:hyperlink w:history="0" r:id="rId42" w:tooltip="Постановление Администрации Курской области от 25.11.2021 N 1238-па &quot;О внесении изменения в постановление Администрации Курской области от 21.05.2018 N 426-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25.11.2021 N 1238-па "О внесении изменения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Курской области от 17.06.2022 N 662-па</w:t>
            <w:br/>
            <w:t>(ред. от 25.12.2024)</w:t>
            <w:br/>
            <w:t>"Об утверждении Порядка предоста...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417&amp;n=103660&amp;date=21.02.2025&amp;dst=100005&amp;field=134" TargetMode = "External"/>
	<Relationship Id="rId8" Type="http://schemas.openxmlformats.org/officeDocument/2006/relationships/hyperlink" Target="https://login.consultant.ru/link/?req=doc&amp;base=RLAW417&amp;n=106540&amp;date=21.02.2025&amp;dst=100005&amp;field=134" TargetMode = "External"/>
	<Relationship Id="rId9" Type="http://schemas.openxmlformats.org/officeDocument/2006/relationships/hyperlink" Target="https://login.consultant.ru/link/?req=doc&amp;base=RLAW417&amp;n=108340&amp;date=21.02.2025&amp;dst=100005&amp;field=134" TargetMode = "External"/>
	<Relationship Id="rId10" Type="http://schemas.openxmlformats.org/officeDocument/2006/relationships/hyperlink" Target="https://login.consultant.ru/link/?req=doc&amp;base=RLAW417&amp;n=114157&amp;date=21.02.2025&amp;dst=100041&amp;field=134" TargetMode = "External"/>
	<Relationship Id="rId11" Type="http://schemas.openxmlformats.org/officeDocument/2006/relationships/hyperlink" Target="https://login.consultant.ru/link/?req=doc&amp;base=RLAW417&amp;n=122319&amp;date=21.02.2025&amp;dst=100005&amp;field=134" TargetMode = "External"/>
	<Relationship Id="rId12" Type="http://schemas.openxmlformats.org/officeDocument/2006/relationships/hyperlink" Target="https://login.consultant.ru/link/?req=doc&amp;base=RLAW417&amp;n=127408&amp;date=21.02.2025&amp;dst=100005&amp;field=134" TargetMode = "External"/>
	<Relationship Id="rId13" Type="http://schemas.openxmlformats.org/officeDocument/2006/relationships/hyperlink" Target="https://login.consultant.ru/link/?req=doc&amp;base=RLAW417&amp;n=127408&amp;date=21.02.2025&amp;dst=100010&amp;field=134" TargetMode = "External"/>
	<Relationship Id="rId14" Type="http://schemas.openxmlformats.org/officeDocument/2006/relationships/hyperlink" Target="https://login.consultant.ru/link/?req=doc&amp;base=LAW&amp;n=466790&amp;date=21.02.2025&amp;dst=103395&amp;field=134" TargetMode = "External"/>
	<Relationship Id="rId15" Type="http://schemas.openxmlformats.org/officeDocument/2006/relationships/hyperlink" Target="https://login.consultant.ru/link/?req=doc&amp;base=LAW&amp;n=466790&amp;date=21.02.2025&amp;dst=103431&amp;field=134" TargetMode = "External"/>
	<Relationship Id="rId16" Type="http://schemas.openxmlformats.org/officeDocument/2006/relationships/hyperlink" Target="https://login.consultant.ru/link/?req=doc&amp;base=LAW&amp;n=490805&amp;date=21.02.2025" TargetMode = "External"/>
	<Relationship Id="rId17" Type="http://schemas.openxmlformats.org/officeDocument/2006/relationships/hyperlink" Target="https://login.consultant.ru/link/?req=doc&amp;base=RLAW417&amp;n=127796&amp;date=21.02.2025&amp;dst=178015&amp;field=134" TargetMode = "External"/>
	<Relationship Id="rId18" Type="http://schemas.openxmlformats.org/officeDocument/2006/relationships/hyperlink" Target="https://login.consultant.ru/link/?req=doc&amp;base=LAW&amp;n=121087&amp;date=21.02.2025&amp;dst=100142&amp;field=134" TargetMode = "External"/>
	<Relationship Id="rId19" Type="http://schemas.openxmlformats.org/officeDocument/2006/relationships/hyperlink" Target="https://login.consultant.ru/link/?req=doc&amp;base=LAW&amp;n=483137&amp;date=21.02.2025" TargetMode = "External"/>
	<Relationship Id="rId20" Type="http://schemas.openxmlformats.org/officeDocument/2006/relationships/hyperlink" Target="https://login.consultant.ru/link/?req=doc&amp;base=LAW&amp;n=483130&amp;date=21.02.2025&amp;dst=5769&amp;field=134" TargetMode = "External"/>
	<Relationship Id="rId21" Type="http://schemas.openxmlformats.org/officeDocument/2006/relationships/hyperlink" Target="https://login.consultant.ru/link/?req=doc&amp;base=LAW&amp;n=486350&amp;date=21.02.2025" TargetMode = "External"/>
	<Relationship Id="rId22" Type="http://schemas.openxmlformats.org/officeDocument/2006/relationships/hyperlink" Target="https://login.consultant.ru/link/?req=doc&amp;base=LAW&amp;n=489330&amp;date=21.02.2025" TargetMode = "External"/>
	<Relationship Id="rId23" Type="http://schemas.openxmlformats.org/officeDocument/2006/relationships/hyperlink" Target="https://login.consultant.ru/link/?req=doc&amp;base=LAW&amp;n=489330&amp;date=21.02.2025" TargetMode = "External"/>
	<Relationship Id="rId24" Type="http://schemas.openxmlformats.org/officeDocument/2006/relationships/hyperlink" Target="https://login.consultant.ru/link/?req=doc&amp;base=LAW&amp;n=489330&amp;date=21.02.2025" TargetMode = "External"/>
	<Relationship Id="rId25" Type="http://schemas.openxmlformats.org/officeDocument/2006/relationships/hyperlink" Target="https://login.consultant.ru/link/?req=doc&amp;base=LAW&amp;n=489330&amp;date=21.02.2025" TargetMode = "External"/>
	<Relationship Id="rId26" Type="http://schemas.openxmlformats.org/officeDocument/2006/relationships/hyperlink" Target="https://login.consultant.ru/link/?req=doc&amp;base=RLAW417&amp;n=15034&amp;date=21.02.2025" TargetMode = "External"/>
	<Relationship Id="rId27" Type="http://schemas.openxmlformats.org/officeDocument/2006/relationships/hyperlink" Target="https://login.consultant.ru/link/?req=doc&amp;base=LAW&amp;n=486350&amp;date=21.02.2025" TargetMode = "External"/>
	<Relationship Id="rId28" Type="http://schemas.openxmlformats.org/officeDocument/2006/relationships/hyperlink" Target="https://login.consultant.ru/link/?req=doc&amp;base=LAW&amp;n=466790&amp;date=21.02.2025&amp;dst=3704&amp;field=134" TargetMode = "External"/>
	<Relationship Id="rId29" Type="http://schemas.openxmlformats.org/officeDocument/2006/relationships/hyperlink" Target="https://login.consultant.ru/link/?req=doc&amp;base=LAW&amp;n=466790&amp;date=21.02.2025&amp;dst=3722&amp;field=134" TargetMode = "External"/>
	<Relationship Id="rId30" Type="http://schemas.openxmlformats.org/officeDocument/2006/relationships/hyperlink" Target="https://login.consultant.ru/link/?req=doc&amp;base=LAW&amp;n=482692&amp;date=21.02.2025&amp;dst=217&amp;field=134" TargetMode = "External"/>
	<Relationship Id="rId31" Type="http://schemas.openxmlformats.org/officeDocument/2006/relationships/hyperlink" Target="https://login.consultant.ru/link/?req=doc&amp;base=LAW&amp;n=479333&amp;date=21.02.2025&amp;dst=100104&amp;field=134" TargetMode = "External"/>
	<Relationship Id="rId32" Type="http://schemas.openxmlformats.org/officeDocument/2006/relationships/hyperlink" Target="https://login.consultant.ru/link/?req=doc&amp;base=LAW&amp;n=482692&amp;date=21.02.2025&amp;dst=217&amp;field=134" TargetMode = "External"/>
	<Relationship Id="rId33" Type="http://schemas.openxmlformats.org/officeDocument/2006/relationships/hyperlink" Target="https://login.consultant.ru/link/?req=doc&amp;base=LAW&amp;n=494637&amp;date=21.02.2025&amp;dst=100058&amp;field=134" TargetMode = "External"/>
	<Relationship Id="rId34" Type="http://schemas.openxmlformats.org/officeDocument/2006/relationships/hyperlink" Target="https://login.consultant.ru/link/?req=doc&amp;base=LAW&amp;n=466790&amp;date=21.02.2025&amp;dst=3704&amp;field=134" TargetMode = "External"/>
	<Relationship Id="rId35" Type="http://schemas.openxmlformats.org/officeDocument/2006/relationships/hyperlink" Target="https://login.consultant.ru/link/?req=doc&amp;base=LAW&amp;n=466790&amp;date=21.02.2025&amp;dst=3722&amp;field=134" TargetMode = "External"/>
	<Relationship Id="rId36" Type="http://schemas.openxmlformats.org/officeDocument/2006/relationships/hyperlink" Target="https://login.consultant.ru/link/?req=doc&amp;base=RLAW417&amp;n=97078&amp;date=21.02.2025" TargetMode = "External"/>
	<Relationship Id="rId37" Type="http://schemas.openxmlformats.org/officeDocument/2006/relationships/hyperlink" Target="https://login.consultant.ru/link/?req=doc&amp;base=RLAW417&amp;n=72319&amp;date=21.02.2025" TargetMode = "External"/>
	<Relationship Id="rId38" Type="http://schemas.openxmlformats.org/officeDocument/2006/relationships/hyperlink" Target="https://login.consultant.ru/link/?req=doc&amp;base=RLAW417&amp;n=72047&amp;date=21.02.2025" TargetMode = "External"/>
	<Relationship Id="rId39" Type="http://schemas.openxmlformats.org/officeDocument/2006/relationships/hyperlink" Target="https://login.consultant.ru/link/?req=doc&amp;base=RLAW417&amp;n=83227&amp;date=21.02.2025" TargetMode = "External"/>
	<Relationship Id="rId40" Type="http://schemas.openxmlformats.org/officeDocument/2006/relationships/hyperlink" Target="https://login.consultant.ru/link/?req=doc&amp;base=RLAW417&amp;n=83492&amp;date=21.02.2025" TargetMode = "External"/>
	<Relationship Id="rId41" Type="http://schemas.openxmlformats.org/officeDocument/2006/relationships/hyperlink" Target="https://login.consultant.ru/link/?req=doc&amp;base=RLAW417&amp;n=91735&amp;date=21.02.2025" TargetMode = "External"/>
	<Relationship Id="rId42" Type="http://schemas.openxmlformats.org/officeDocument/2006/relationships/hyperlink" Target="https://login.consultant.ru/link/?req=doc&amp;base=RLAW417&amp;n=96884&amp;date=21.02.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17.06.2022 N 662-па
(ред. от 25.12.2024)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
(вместе с "Перечнем постановлений Администрации Курской области, признанных утратившими силу")</dc:title>
  <dcterms:created xsi:type="dcterms:W3CDTF">2025-02-21T13:36:31Z</dcterms:created>
</cp:coreProperties>
</file>